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700" w:lineRule="exact"/>
        <w:jc w:val="center"/>
        <w:rPr>
          <w:rFonts w:hint="eastAsia" w:ascii="小标宋" w:hAnsi="Calibri" w:eastAsia="小标宋"/>
          <w:sz w:val="44"/>
          <w:szCs w:val="44"/>
        </w:rPr>
      </w:pPr>
      <w:r>
        <w:rPr>
          <w:rFonts w:hint="eastAsia" w:ascii="小标宋" w:hAnsi="Calibri" w:eastAsia="小标宋"/>
          <w:sz w:val="44"/>
          <w:szCs w:val="44"/>
        </w:rPr>
        <w:t>深圳市</w:t>
      </w:r>
      <w:r>
        <w:rPr>
          <w:rFonts w:hint="eastAsia" w:ascii="小标宋" w:eastAsia="小标宋"/>
          <w:sz w:val="44"/>
          <w:szCs w:val="44"/>
          <w:lang w:eastAsia="zh-CN"/>
        </w:rPr>
        <w:t>生态环境局宝安管理局</w:t>
      </w:r>
      <w:r>
        <w:rPr>
          <w:rFonts w:hint="eastAsia" w:ascii="小标宋" w:hAnsi="Calibri" w:eastAsia="小标宋"/>
          <w:sz w:val="44"/>
          <w:szCs w:val="44"/>
        </w:rPr>
        <w:t>2019年度政府信息公开工作年度报告</w:t>
      </w:r>
    </w:p>
    <w:p>
      <w:pPr>
        <w:pStyle w:val="2"/>
        <w:widowControl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</w:rPr>
        <w:t>一、总体情况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本年度总结由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总体情况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、主动公开政府信息情况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、收到和处理政府信息公开申请情况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、因政府信息公开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工作被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申请行政复议和提起行政诉讼情况、政府信息公开工作存在的主要问题及改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进情况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等方面的内容组成。如对本年度总结有任何疑问，请与深圳市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生态环境局宝安管理局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政府信息公开领导小组办公室联系（地址：深圳市宝安区宝城新安二路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96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号环保大楼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室；邮编：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518101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；电话：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0755-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27756250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；传真：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0755-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85279656。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spacing w:line="540" w:lineRule="exact"/>
        <w:ind w:firstLine="66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9年，我局在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市委、市政府、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委、区政府的正确领导下，认真贯彻落实《中华人民共和国政府信息公开条例》（以下简称《条例》）和省、市、区有关文件精神，按照区政府统一部署和安排，不断强化政府信息公开工作，严格按照《条例》和《深圳市政府信息公开规定》（以下简称《规定》）的精神和要求，成立了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市生态环境局宝安管理局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政府信息公开领导小组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公开内容动态扩展和定期审查机制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，丰富了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公开途径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宝安政府在线、政务微博、报纸、广播、电视、新闻发布会、信息公开栏、电子显示屏等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积极推进政府信息公开各项工作，通过落实政府信息公开，有效地保障了公众的知情权和监督权，为推进法治政府、阳光政府建设营造了良好的环境。</w:t>
      </w:r>
    </w:p>
    <w:p>
      <w:pPr>
        <w:pStyle w:val="2"/>
        <w:widowControl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4"/>
        <w:tblW w:w="88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78"/>
        <w:gridCol w:w="2034"/>
        <w:gridCol w:w="6"/>
        <w:gridCol w:w="1372"/>
        <w:gridCol w:w="20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88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3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仿宋_GB2312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　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bidi="ar"/>
              </w:rPr>
              <w:t>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仿宋_GB2312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bidi="ar"/>
              </w:rPr>
              <w:t>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仿宋_GB2312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仿宋_GB2312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　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bidi="ar"/>
              </w:rPr>
              <w:t>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仿宋_GB2312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bidi="ar"/>
              </w:rPr>
              <w:t>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仿宋_GB2312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88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3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+3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仿宋_GB2312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bidi="ar"/>
              </w:rPr>
              <w:t>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88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3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left"/>
              <w:textAlignment w:val="auto"/>
              <w:rPr>
                <w:rFonts w:ascii="Times New Roman" w:hAnsi="Times New Roman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　205</w:t>
            </w:r>
            <w:bookmarkStart w:id="0" w:name="_GoBack"/>
            <w:bookmarkEnd w:id="0"/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left"/>
              <w:textAlignment w:val="auto"/>
              <w:rPr>
                <w:rFonts w:ascii="Times New Roman" w:hAnsi="Times New Roman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　 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tabs>
                <w:tab w:val="center" w:pos="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　11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　 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　      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88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仿宋_GB2312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bidi="ar"/>
              </w:rPr>
              <w:t>0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bidi="ar"/>
              </w:rPr>
              <w:t>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88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16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bidi="ar"/>
              </w:rPr>
              <w:t>3894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bidi="ar"/>
              </w:rPr>
              <w:t>962068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万元</w:t>
            </w:r>
          </w:p>
        </w:tc>
      </w:tr>
    </w:tbl>
    <w:p>
      <w:pPr>
        <w:pStyle w:val="2"/>
        <w:widowControl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黑体" w:cs="黑体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黑体"/>
          <w:bCs/>
          <w:color w:val="00000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4"/>
        <w:tblW w:w="8859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828"/>
        <w:gridCol w:w="2034"/>
        <w:gridCol w:w="792"/>
        <w:gridCol w:w="735"/>
        <w:gridCol w:w="735"/>
        <w:gridCol w:w="792"/>
        <w:gridCol w:w="948"/>
        <w:gridCol w:w="703"/>
        <w:gridCol w:w="6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347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38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347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9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  <w:jc w:val="center"/>
        </w:trPr>
        <w:tc>
          <w:tcPr>
            <w:tcW w:w="347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34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34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6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34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0</w:t>
            </w:r>
          </w:p>
        </w:tc>
      </w:tr>
    </w:tbl>
    <w:p>
      <w:pPr>
        <w:pStyle w:val="2"/>
        <w:widowControl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黑体" w:cs="黑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color w:val="00000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4"/>
        <w:tblW w:w="8839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587"/>
        <w:gridCol w:w="587"/>
        <w:gridCol w:w="587"/>
        <w:gridCol w:w="647"/>
        <w:gridCol w:w="535"/>
        <w:gridCol w:w="588"/>
        <w:gridCol w:w="588"/>
        <w:gridCol w:w="588"/>
        <w:gridCol w:w="595"/>
        <w:gridCol w:w="588"/>
        <w:gridCol w:w="588"/>
        <w:gridCol w:w="588"/>
        <w:gridCol w:w="589"/>
        <w:gridCol w:w="5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29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84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5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58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5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5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89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29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7" w:hRule="atLeast"/>
          <w:jc w:val="center"/>
        </w:trPr>
        <w:tc>
          <w:tcPr>
            <w:tcW w:w="5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58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5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5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黑体" w:cs="黑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color w:val="000000"/>
          <w:sz w:val="32"/>
          <w:szCs w:val="32"/>
          <w:shd w:val="clear" w:color="auto" w:fill="FFFFFF"/>
        </w:rPr>
        <w:t>五、存在的主要问题及改进情况</w:t>
      </w:r>
    </w:p>
    <w:p>
      <w:pPr>
        <w:spacing w:line="54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度，在有力的组织领导和完善的制度框架下，我局的政府信息公开的形式和渠道不断优化，工作取得较大成效，但政府信息公开工作还有进步的空间，门户网站运行中发现的新问题需要认真加以解决，信息公开的力度需要不断加大，信息公开服务水平需要更进一步提高。</w:t>
      </w:r>
    </w:p>
    <w:p>
      <w:pPr>
        <w:pStyle w:val="2"/>
        <w:widowControl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黑体" w:cs="黑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color w:val="000000"/>
          <w:sz w:val="32"/>
          <w:szCs w:val="32"/>
          <w:shd w:val="clear" w:color="auto" w:fill="FFFFFF"/>
        </w:rPr>
        <w:t>六、其他需要报告的事项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2020年，我局将不断丰富政府信息公开内容，做好人民群众关注或与人民群众密切相关的工作信息的公开；加强信息公开人员队伍建设，加强关于</w:t>
      </w:r>
      <w:r>
        <w:rPr>
          <w:rFonts w:hint="eastAsia" w:ascii="仿宋" w:hAnsi="仿宋" w:eastAsia="仿宋"/>
          <w:sz w:val="32"/>
          <w:szCs w:val="32"/>
          <w:lang w:eastAsia="zh-CN"/>
        </w:rPr>
        <w:t>环保</w:t>
      </w:r>
      <w:r>
        <w:rPr>
          <w:rFonts w:hint="eastAsia" w:ascii="仿宋" w:hAnsi="仿宋" w:eastAsia="仿宋"/>
          <w:sz w:val="32"/>
          <w:szCs w:val="32"/>
        </w:rPr>
        <w:t>的业务、法律法规、计算机运用、网络知识等技能的学习培训，提高业务人员的工作水平和工作能力。增强主动公开意识,进一步提高政府信息公开工作质量。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3107A"/>
    <w:rsid w:val="07157123"/>
    <w:rsid w:val="0FC8043E"/>
    <w:rsid w:val="11B170BB"/>
    <w:rsid w:val="1C9A5F30"/>
    <w:rsid w:val="24F4455B"/>
    <w:rsid w:val="27205922"/>
    <w:rsid w:val="41C85ABD"/>
    <w:rsid w:val="4BCE51BC"/>
    <w:rsid w:val="4C695B19"/>
    <w:rsid w:val="4FB03345"/>
    <w:rsid w:val="50016A44"/>
    <w:rsid w:val="5B5846BC"/>
    <w:rsid w:val="63964F44"/>
    <w:rsid w:val="66C22BB0"/>
    <w:rsid w:val="699A62FF"/>
    <w:rsid w:val="6C5536F5"/>
    <w:rsid w:val="6FAE1870"/>
    <w:rsid w:val="73AC1CEC"/>
    <w:rsid w:val="76735986"/>
    <w:rsid w:val="7EF5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2020-01-17T02:56:00Z</dcterms:created>
  <dc:creator>zhua</dc:creator>
  <cp:lastModifiedBy>Newborn</cp:lastModifiedBy>
  <dcterms:modified xsi:type="dcterms:W3CDTF">2020-01-21T07:20:58Z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