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after="469" w:afterLines="150" w:line="240" w:lineRule="auto"/>
        <w:jc w:val="left"/>
        <w:textAlignment w:val="auto"/>
        <w:rPr>
          <w:rFonts w:hint="eastAsia" w:ascii="黑体" w:hAnsi="黑体" w:eastAsia="黑体" w:cs="黑体"/>
          <w:b w:val="0"/>
          <w:bCs/>
          <w:color w:val="000000" w:themeColor="text1"/>
          <w:sz w:val="32"/>
          <w:szCs w:val="32"/>
          <w:highlight w:val="none"/>
          <w:lang w:val="en-US" w:eastAsia="zh-CN" w:bidi="ar-SA"/>
          <w14:textFill>
            <w14:solidFill>
              <w14:schemeClr w14:val="tx1"/>
            </w14:solidFill>
          </w14:textFill>
        </w:rPr>
      </w:pPr>
      <w:bookmarkStart w:id="0" w:name="_GoBack"/>
      <w:bookmarkEnd w:id="0"/>
      <w:r>
        <w:rPr>
          <w:rFonts w:hint="eastAsia" w:ascii="黑体" w:hAnsi="黑体" w:eastAsia="黑体" w:cs="黑体"/>
          <w:b w:val="0"/>
          <w:bCs/>
          <w:color w:val="000000" w:themeColor="text1"/>
          <w:sz w:val="32"/>
          <w:szCs w:val="32"/>
          <w:highlight w:val="none"/>
          <w:lang w:val="en-US" w:eastAsia="zh-CN" w:bidi="ar-SA"/>
          <w14:textFill>
            <w14:solidFill>
              <w14:schemeClr w14:val="tx1"/>
            </w14:solidFill>
          </w14:textFill>
        </w:rPr>
        <w:t xml:space="preserve">附件1 </w:t>
      </w:r>
    </w:p>
    <w:p>
      <w:pPr>
        <w:widowControl w:val="0"/>
        <w:jc w:val="center"/>
        <w:rPr>
          <w:rFonts w:hint="eastAsia" w:ascii="宋体" w:hAnsi="宋体" w:eastAsia="宋体" w:cs="Times New Roman"/>
          <w:b/>
          <w:color w:val="000000" w:themeColor="text1"/>
          <w:sz w:val="44"/>
          <w:szCs w:val="44"/>
          <w:highlight w:val="none"/>
          <w:lang w:val="en-US" w:eastAsia="zh-CN" w:bidi="ar-SA"/>
          <w14:textFill>
            <w14:solidFill>
              <w14:schemeClr w14:val="tx1"/>
            </w14:solidFill>
          </w14:textFill>
        </w:rPr>
      </w:pPr>
      <w:r>
        <w:rPr>
          <w:rFonts w:hint="eastAsia" w:ascii="宋体" w:hAnsi="宋体" w:eastAsia="宋体" w:cs="Times New Roman"/>
          <w:b/>
          <w:color w:val="000000" w:themeColor="text1"/>
          <w:sz w:val="44"/>
          <w:szCs w:val="44"/>
          <w:highlight w:val="none"/>
          <w:lang w:val="en-US" w:eastAsia="zh-CN" w:bidi="ar-SA"/>
          <w14:textFill>
            <w14:solidFill>
              <w14:schemeClr w14:val="tx1"/>
            </w14:solidFill>
          </w14:textFill>
        </w:rPr>
        <w:t>关于</w:t>
      </w:r>
      <w:r>
        <w:rPr>
          <w:rFonts w:hint="eastAsia" w:ascii="宋体" w:hAnsi="宋体" w:cs="Times New Roman"/>
          <w:b/>
          <w:color w:val="000000" w:themeColor="text1"/>
          <w:sz w:val="44"/>
          <w:szCs w:val="44"/>
          <w:highlight w:val="none"/>
          <w:lang w:val="en-US" w:eastAsia="zh-CN" w:bidi="ar-SA"/>
          <w14:textFill>
            <w14:solidFill>
              <w14:schemeClr w14:val="tx1"/>
            </w14:solidFill>
          </w14:textFill>
        </w:rPr>
        <w:t>深圳</w:t>
      </w:r>
      <w:r>
        <w:rPr>
          <w:rFonts w:hint="eastAsia" w:ascii="宋体" w:hAnsi="宋体" w:eastAsia="宋体" w:cs="Times New Roman"/>
          <w:b/>
          <w:color w:val="000000" w:themeColor="text1"/>
          <w:sz w:val="44"/>
          <w:szCs w:val="44"/>
          <w:highlight w:val="none"/>
          <w:lang w:val="en-US" w:eastAsia="zh-CN" w:bidi="ar-SA"/>
          <w14:textFill>
            <w14:solidFill>
              <w14:schemeClr w14:val="tx1"/>
            </w14:solidFill>
          </w14:textFill>
        </w:rPr>
        <w:t xml:space="preserve">市提前实施国家第四阶段非道路 </w:t>
      </w:r>
    </w:p>
    <w:p>
      <w:pPr>
        <w:widowControl w:val="0"/>
        <w:jc w:val="center"/>
        <w:rPr>
          <w:rFonts w:hint="eastAsia" w:ascii="宋体" w:hAnsi="宋体" w:eastAsia="宋体" w:cs="Times New Roman"/>
          <w:b/>
          <w:color w:val="000000" w:themeColor="text1"/>
          <w:sz w:val="44"/>
          <w:szCs w:val="44"/>
          <w:highlight w:val="none"/>
          <w:lang w:val="en-US" w:eastAsia="zh-CN" w:bidi="ar-SA"/>
          <w14:textFill>
            <w14:solidFill>
              <w14:schemeClr w14:val="tx1"/>
            </w14:solidFill>
          </w14:textFill>
        </w:rPr>
      </w:pPr>
      <w:r>
        <w:rPr>
          <w:rFonts w:hint="eastAsia" w:ascii="宋体" w:hAnsi="宋体" w:eastAsia="宋体" w:cs="Times New Roman"/>
          <w:b/>
          <w:color w:val="000000" w:themeColor="text1"/>
          <w:sz w:val="44"/>
          <w:szCs w:val="44"/>
          <w:highlight w:val="none"/>
          <w:lang w:val="en-US" w:eastAsia="zh-CN" w:bidi="ar-SA"/>
          <w14:textFill>
            <w14:solidFill>
              <w14:schemeClr w14:val="tx1"/>
            </w14:solidFill>
          </w14:textFill>
        </w:rPr>
        <w:t>移动机械排放标准的通告</w:t>
      </w:r>
    </w:p>
    <w:p>
      <w:pPr>
        <w:widowControl w:val="0"/>
        <w:jc w:val="center"/>
        <w:rPr>
          <w:rFonts w:hint="eastAsia" w:ascii="宋体" w:hAnsi="宋体" w:eastAsia="宋体" w:cs="Times New Roman"/>
          <w:b/>
          <w:color w:val="000000" w:themeColor="text1"/>
          <w:sz w:val="44"/>
          <w:szCs w:val="44"/>
          <w:highlight w:val="none"/>
          <w:lang w:val="en-US" w:eastAsia="zh-CN" w:bidi="ar-SA"/>
          <w14:textFill>
            <w14:solidFill>
              <w14:schemeClr w14:val="tx1"/>
            </w14:solidFill>
          </w14:textFill>
        </w:rPr>
      </w:pPr>
      <w:r>
        <w:rPr>
          <w:rFonts w:hint="eastAsia" w:ascii="楷体_GB2312" w:hAnsi="楷体_GB2312" w:eastAsia="楷体_GB2312" w:cs="楷体_GB2312"/>
          <w:sz w:val="32"/>
          <w:szCs w:val="32"/>
          <w:lang w:val="en-US" w:eastAsia="zh-CN" w:bidi="ar-SA"/>
        </w:rPr>
        <w:t>（征求意见稿）</w:t>
      </w:r>
    </w:p>
    <w:p>
      <w:pPr>
        <w:widowControl w:val="0"/>
        <w:jc w:val="center"/>
        <w:rPr>
          <w:rFonts w:hint="eastAsia" w:ascii="宋体" w:hAnsi="宋体" w:eastAsia="宋体" w:cs="Times New Roman"/>
          <w:b/>
          <w:color w:val="000000" w:themeColor="text1"/>
          <w:sz w:val="44"/>
          <w:szCs w:val="44"/>
          <w:highlight w:val="none"/>
          <w:lang w:val="en-US" w:eastAsia="zh-CN" w:bidi="ar-SA"/>
          <w14:textFill>
            <w14:solidFill>
              <w14:schemeClr w14:val="tx1"/>
            </w14:solidFill>
          </w14:textFill>
        </w:rPr>
      </w:pPr>
    </w:p>
    <w:p>
      <w:pPr>
        <w:keepNext w:val="0"/>
        <w:keepLines w:val="0"/>
        <w:widowControl/>
        <w:suppressLineNumbers w:val="0"/>
        <w:spacing w:before="0" w:beforeAutospacing="0" w:after="0" w:afterAutospacing="0"/>
        <w:ind w:left="0" w:right="0" w:firstLine="640" w:firstLineChars="200"/>
        <w:jc w:val="left"/>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为进一步减少非道路移动机械污染排放，持续改善我市环境空气质量，依据《生态环境标准管理办法》（生态环境部令第17号）和生态环境部等11部门联合发布的《柴油货车污染治理攻坚战行动计划》（环大气〔2018〕179号）的有关要求，我市将提前实施《非道路移动机械用柴油机排气污染物排放限值及测量方法（中国第三、四阶段）》（GB20891-2014）及其《修改单》中的第四阶段排放标准（以下简称《非道路机械第四阶段标准》）。现将有关事项通告如下：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cs="黑体"/>
          <w:color w:val="000000" w:themeColor="text1"/>
          <w:sz w:val="32"/>
          <w:szCs w:val="40"/>
          <w:highlight w:val="none"/>
          <w:lang w:val="en-US" w:eastAsia="zh-CN" w:bidi="ar-SA"/>
          <w14:textFill>
            <w14:solidFill>
              <w14:schemeClr w14:val="tx1"/>
            </w14:solidFill>
          </w14:textFill>
        </w:rPr>
      </w:pPr>
      <w:r>
        <w:rPr>
          <w:rFonts w:hint="eastAsia" w:ascii="黑体" w:hAnsi="黑体" w:eastAsia="黑体" w:cs="黑体"/>
          <w:color w:val="000000" w:themeColor="text1"/>
          <w:sz w:val="32"/>
          <w:szCs w:val="40"/>
          <w:highlight w:val="none"/>
          <w:lang w:val="en-US" w:eastAsia="zh-CN" w:bidi="ar-SA"/>
          <w14:textFill>
            <w14:solidFill>
              <w14:schemeClr w14:val="tx1"/>
            </w14:solidFill>
          </w14:textFill>
        </w:rPr>
        <w:t xml:space="preserve">一、实施时间 </w:t>
      </w:r>
    </w:p>
    <w:p>
      <w:pPr>
        <w:keepNext w:val="0"/>
        <w:keepLines w:val="0"/>
        <w:pageBreakBefore w:val="0"/>
        <w:widowControl/>
        <w:kinsoku/>
        <w:wordWrap/>
        <w:overflowPunct/>
        <w:topLinePunct w:val="0"/>
        <w:autoSpaceDE/>
        <w:autoSpaceDN/>
        <w:bidi w:val="0"/>
        <w:adjustRightInd/>
        <w:snapToGrid/>
        <w:spacing w:beforeLines="-2147483648" w:afterLines="-2147483648" w:line="240" w:lineRule="auto"/>
        <w:ind w:firstLine="640" w:firstLineChars="200"/>
        <w:jc w:val="left"/>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（一）自2021年12月1日起，除部分市场供应不足的非道路移动机械及其装用的柴油机之外，在我市生产、进口和销售的560kW 以下（含560kW）非道路移动机械及其装用的柴油机须满足《非道路机械第四阶段标准》要求。其中，非道路移动机械及其装用的柴油机是指《非道路机械第四阶段标准》规定的非道路用柴油移动机械及其装用的柴油机和在道路上用于载人(货)的车辆装用的第二台柴油机。 </w:t>
      </w:r>
    </w:p>
    <w:p>
      <w:pPr>
        <w:keepNext w:val="0"/>
        <w:keepLines w:val="0"/>
        <w:pageBreakBefore w:val="0"/>
        <w:widowControl/>
        <w:kinsoku/>
        <w:wordWrap/>
        <w:overflowPunct/>
        <w:topLinePunct w:val="0"/>
        <w:autoSpaceDE/>
        <w:autoSpaceDN/>
        <w:bidi w:val="0"/>
        <w:adjustRightInd/>
        <w:snapToGrid/>
        <w:spacing w:beforeLines="-2147483648" w:afterLines="-2147483648" w:line="240" w:lineRule="auto"/>
        <w:ind w:firstLine="640" w:firstLineChars="200"/>
        <w:jc w:val="left"/>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（二）自2022年12月1日起，对于部分市场供应不足的非道路移动机械及其装用的柴油机，在我市进口和销售的560kW 以下（含560kW）非道路移动机械及其装用的柴油机须满足《非道路机械第四阶段标准》要求。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cs="黑体"/>
          <w:color w:val="000000" w:themeColor="text1"/>
          <w:sz w:val="32"/>
          <w:szCs w:val="40"/>
          <w:highlight w:val="none"/>
          <w:lang w:val="en-US" w:eastAsia="zh-CN" w:bidi="ar-SA"/>
          <w14:textFill>
            <w14:solidFill>
              <w14:schemeClr w14:val="tx1"/>
            </w14:solidFill>
          </w14:textFill>
        </w:rPr>
      </w:pPr>
      <w:r>
        <w:rPr>
          <w:rFonts w:hint="eastAsia" w:ascii="黑体" w:hAnsi="黑体" w:eastAsia="黑体" w:cs="黑体"/>
          <w:color w:val="000000" w:themeColor="text1"/>
          <w:sz w:val="32"/>
          <w:szCs w:val="40"/>
          <w:highlight w:val="none"/>
          <w:lang w:val="en-US" w:eastAsia="zh-CN" w:bidi="ar-SA"/>
          <w14:textFill>
            <w14:solidFill>
              <w14:schemeClr w14:val="tx1"/>
            </w14:solidFill>
          </w14:textFill>
        </w:rPr>
        <w:t xml:space="preserve">二、落实企业主体责任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一）非道路移动机械及其装用的柴油机生产企业应确保实际生产的机械及其装用的柴油机达到《非道路机械第四阶段标准》要求，做好环保生产一致性和在用符合性自查工作。在我市销售非道路移动机械的企业，应确保销售的非道路移动机械及其装用的柴油机符合《非道路机械第四阶段标准》要求。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二）按照《非道路机械第四阶段标准》和《非道路柴油移动机械污染物排放控制技术要求》（HJ1014—2020）要求，装用额定净功率37kW及以上柴油机的非道路移动机械应加装卫星导航精准定位系统和车载终端系统。请非道路移动机械生产企业在机械销售前，按照国家统一要求与生态环境部机动车排污监控中心联网。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eastAsia" w:ascii="黑体" w:hAnsi="黑体" w:eastAsia="黑体" w:cs="黑体"/>
          <w:color w:val="000000" w:themeColor="text1"/>
          <w:sz w:val="32"/>
          <w:szCs w:val="40"/>
          <w:highlight w:val="none"/>
          <w:lang w:val="en-US" w:eastAsia="zh-CN" w:bidi="ar-SA"/>
          <w14:textFill>
            <w14:solidFill>
              <w14:schemeClr w14:val="tx1"/>
            </w14:solidFill>
          </w14:textFill>
        </w:rPr>
      </w:pPr>
      <w:r>
        <w:rPr>
          <w:rFonts w:hint="eastAsia" w:ascii="黑体" w:hAnsi="黑体" w:eastAsia="黑体" w:cs="黑体"/>
          <w:color w:val="000000" w:themeColor="text1"/>
          <w:sz w:val="32"/>
          <w:szCs w:val="40"/>
          <w:highlight w:val="none"/>
          <w:lang w:val="en-US" w:eastAsia="zh-CN" w:bidi="ar-SA"/>
          <w14:textFill>
            <w14:solidFill>
              <w14:schemeClr w14:val="tx1"/>
            </w14:solidFill>
          </w14:textFill>
        </w:rPr>
        <w:t xml:space="preserve">三、强化执法监管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我市将加强生产、进口和销售环节监督检查，对生产、进口和销售不符合《非道路机械第四阶段标准》要求的，依法追究相关法律责任。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40"/>
          <w:highlight w:val="none"/>
          <w:lang w:val="en-US" w:eastAsia="zh-CN" w:bidi="ar-SA"/>
          <w14:textFill>
            <w14:solidFill>
              <w14:schemeClr w14:val="tx1"/>
            </w14:solidFill>
          </w14:textFill>
        </w:rPr>
        <w:t xml:space="preserve">特此通告。                         </w:t>
      </w:r>
    </w:p>
    <w:sectPr>
      <w:pgSz w:w="11906" w:h="17338"/>
      <w:pgMar w:top="1314" w:right="1265" w:bottom="1093" w:left="1536"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660FDD"/>
    <w:rsid w:val="088B5C06"/>
    <w:rsid w:val="0AC61DCF"/>
    <w:rsid w:val="0B88586C"/>
    <w:rsid w:val="0CD01E9D"/>
    <w:rsid w:val="12AB58F5"/>
    <w:rsid w:val="1B82125B"/>
    <w:rsid w:val="1EFC7C4E"/>
    <w:rsid w:val="20CB7D42"/>
    <w:rsid w:val="220D16FA"/>
    <w:rsid w:val="2380091E"/>
    <w:rsid w:val="28E62960"/>
    <w:rsid w:val="2A0D3533"/>
    <w:rsid w:val="2CED527B"/>
    <w:rsid w:val="43565DB7"/>
    <w:rsid w:val="43F04BA7"/>
    <w:rsid w:val="4F3429B6"/>
    <w:rsid w:val="583834A2"/>
    <w:rsid w:val="65CC308E"/>
    <w:rsid w:val="69B86588"/>
    <w:rsid w:val="6EA456C6"/>
    <w:rsid w:val="7015300D"/>
    <w:rsid w:val="704F4E90"/>
    <w:rsid w:val="70E14DDC"/>
    <w:rsid w:val="71BB64D0"/>
    <w:rsid w:val="772B2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eastAsia="宋体" w:cs="Times New Roman"/>
      <w:szCs w:val="24"/>
    </w:rPr>
  </w:style>
  <w:style w:type="paragraph" w:customStyle="1" w:styleId="6">
    <w:name w:val="Default"/>
    <w:unhideWhenUsed/>
    <w:qFormat/>
    <w:uiPriority w:val="99"/>
    <w:pPr>
      <w:widowControl w:val="0"/>
      <w:autoSpaceDE w:val="0"/>
      <w:autoSpaceDN w:val="0"/>
      <w:adjustRightInd w:val="0"/>
      <w:spacing w:beforeLines="0" w:afterLines="0"/>
    </w:pPr>
    <w:rPr>
      <w:rFonts w:hint="eastAsia" w:ascii="黑体" w:hAnsi="黑体" w:eastAsia="黑体"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2021-04-08T02:22:00Z</dcterms:created>
  <dc:creator>Lenovo</dc:creator>
  <cp:lastModifiedBy>曾晓明</cp:lastModifiedBy>
  <cp:lastPrinted>2021-06-11T03:41:00Z</cp:lastPrinted>
  <dcterms:modified xsi:type="dcterms:W3CDTF">2021-08-06T01:52:21Z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