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ascii="黑体" w:hAnsi="黑体" w:eastAsia="黑体"/>
          <w:sz w:val="32"/>
          <w:szCs w:val="32"/>
        </w:rPr>
        <w:t>附件</w:t>
      </w:r>
    </w:p>
    <w:p>
      <w:pPr>
        <w:rPr>
          <w:rFonts w:hint="eastAsia" w:ascii="黑体" w:hAnsi="黑体" w:eastAsia="黑体"/>
          <w:sz w:val="32"/>
          <w:szCs w:val="32"/>
          <w:lang w:val="en-US" w:eastAsia="zh-CN"/>
        </w:rPr>
      </w:pPr>
    </w:p>
    <w:p>
      <w:pPr>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w:t>
      </w:r>
      <w:r>
        <w:rPr>
          <w:rFonts w:hint="eastAsia" w:ascii="仿宋_GB2312" w:hAnsi="宋体" w:eastAsia="仿宋_GB2312" w:cs="宋体"/>
          <w:color w:val="000000"/>
          <w:kern w:val="0"/>
          <w:sz w:val="28"/>
          <w:szCs w:val="28"/>
          <w:lang w:val="en-US" w:eastAsia="zh-CN"/>
        </w:rPr>
        <w:t>3</w:t>
      </w:r>
      <w:r>
        <w:rPr>
          <w:rFonts w:hint="eastAsia" w:ascii="仿宋_GB2312" w:hAnsi="宋体" w:eastAsia="仿宋_GB2312" w:cs="宋体"/>
          <w:color w:val="000000"/>
          <w:kern w:val="0"/>
          <w:sz w:val="28"/>
          <w:szCs w:val="28"/>
        </w:rPr>
        <w:t>年度市生态环境专项资金第</w:t>
      </w:r>
      <w:r>
        <w:rPr>
          <w:rFonts w:hint="eastAsia" w:ascii="仿宋_GB2312" w:hAnsi="宋体" w:eastAsia="仿宋_GB2312" w:cs="宋体"/>
          <w:color w:val="000000"/>
          <w:kern w:val="0"/>
          <w:sz w:val="28"/>
          <w:szCs w:val="28"/>
          <w:lang w:eastAsia="zh-CN"/>
        </w:rPr>
        <w:t>一</w:t>
      </w:r>
      <w:r>
        <w:rPr>
          <w:rFonts w:hint="eastAsia" w:ascii="仿宋_GB2312" w:hAnsi="宋体" w:eastAsia="仿宋_GB2312" w:cs="宋体"/>
          <w:color w:val="000000"/>
          <w:kern w:val="0"/>
          <w:sz w:val="28"/>
          <w:szCs w:val="28"/>
        </w:rPr>
        <w:t>批</w:t>
      </w:r>
      <w:bookmarkStart w:id="0" w:name="_GoBack"/>
      <w:bookmarkEnd w:id="0"/>
      <w:r>
        <w:rPr>
          <w:rFonts w:hint="eastAsia" w:ascii="仿宋_GB2312" w:hAnsi="宋体" w:eastAsia="仿宋_GB2312" w:cs="宋体"/>
          <w:color w:val="000000"/>
          <w:kern w:val="0"/>
          <w:sz w:val="28"/>
          <w:szCs w:val="28"/>
        </w:rPr>
        <w:t>资助项目计划表</w:t>
      </w:r>
    </w:p>
    <w:p>
      <w:pPr>
        <w:jc w:val="righ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单位：元</w:t>
      </w:r>
    </w:p>
    <w:tbl>
      <w:tblPr>
        <w:tblStyle w:val="5"/>
        <w:tblW w:w="5731" w:type="pct"/>
        <w:jc w:val="center"/>
        <w:tblLayout w:type="fixed"/>
        <w:tblCellMar>
          <w:top w:w="0" w:type="dxa"/>
          <w:left w:w="108" w:type="dxa"/>
          <w:bottom w:w="0" w:type="dxa"/>
          <w:right w:w="108" w:type="dxa"/>
        </w:tblCellMar>
      </w:tblPr>
      <w:tblGrid>
        <w:gridCol w:w="784"/>
        <w:gridCol w:w="2294"/>
        <w:gridCol w:w="1358"/>
        <w:gridCol w:w="6064"/>
        <w:gridCol w:w="4050"/>
        <w:gridCol w:w="1697"/>
      </w:tblGrid>
      <w:tr>
        <w:tblPrEx>
          <w:tblCellMar>
            <w:top w:w="0" w:type="dxa"/>
            <w:left w:w="108" w:type="dxa"/>
            <w:bottom w:w="0" w:type="dxa"/>
            <w:right w:w="108" w:type="dxa"/>
          </w:tblCellMar>
        </w:tblPrEx>
        <w:trPr>
          <w:trHeight w:val="375" w:hRule="atLeast"/>
          <w:tblHeader/>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序号</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项目名称</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申报单位</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项目内容</w:t>
            </w:r>
          </w:p>
        </w:tc>
        <w:tc>
          <w:tcPr>
            <w:tcW w:w="1246" w:type="pct"/>
            <w:tcBorders>
              <w:top w:val="single" w:color="000000" w:sz="4" w:space="0"/>
              <w:left w:val="single" w:color="000000" w:sz="4" w:space="0"/>
              <w:bottom w:val="single" w:color="000000" w:sz="4" w:space="0"/>
              <w:right w:val="single" w:color="000000" w:sz="4" w:space="0"/>
            </w:tcBorders>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项目绩效</w:t>
            </w:r>
          </w:p>
        </w:tc>
        <w:tc>
          <w:tcPr>
            <w:tcW w:w="522" w:type="pct"/>
            <w:tcBorders>
              <w:top w:val="single" w:color="000000" w:sz="4" w:space="0"/>
              <w:left w:val="single" w:color="000000" w:sz="4" w:space="0"/>
              <w:bottom w:val="single" w:color="000000" w:sz="4" w:space="0"/>
              <w:right w:val="single" w:color="000000" w:sz="4" w:space="0"/>
            </w:tcBorders>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资助金额</w:t>
            </w:r>
          </w:p>
        </w:tc>
      </w:tr>
      <w:tr>
        <w:tblPrEx>
          <w:tblCellMar>
            <w:top w:w="0" w:type="dxa"/>
            <w:left w:w="108" w:type="dxa"/>
            <w:bottom w:w="0" w:type="dxa"/>
            <w:right w:w="108" w:type="dxa"/>
          </w:tblCellMar>
        </w:tblPrEx>
        <w:trPr>
          <w:trHeight w:val="541"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（一）污染处理设施更新改造项目</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lang w:val="en-US" w:eastAsia="zh-CN"/>
              </w:rPr>
              <w:t>10</w:t>
            </w:r>
            <w:r>
              <w:rPr>
                <w:rFonts w:hint="eastAsia" w:ascii="仿宋_GB2312" w:hAnsi="宋体" w:eastAsia="仿宋_GB2312" w:cs="宋体"/>
                <w:color w:val="000000"/>
                <w:kern w:val="0"/>
                <w:sz w:val="28"/>
                <w:szCs w:val="28"/>
                <w:lang w:eastAsia="zh-CN"/>
              </w:rPr>
              <w:t>个）</w:t>
            </w:r>
          </w:p>
        </w:tc>
      </w:tr>
      <w:tr>
        <w:tblPrEx>
          <w:tblCellMar>
            <w:top w:w="0" w:type="dxa"/>
            <w:left w:w="108" w:type="dxa"/>
            <w:bottom w:w="0" w:type="dxa"/>
            <w:right w:w="108" w:type="dxa"/>
          </w:tblCellMar>
        </w:tblPrEx>
        <w:trPr>
          <w:trHeight w:val="577"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盐田垃圾发电厂烟气间活性炭系统</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深圳市能源环保有限公司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该项目申报建设内容为：对位于烟气处理间内的活性炭储存及供应系统进行利旧改造，更换给料及喷射系统，主要包括：活性炭失重称量式给料机、旋转刮板机、活性炭喷射器、输送风机等。</w:t>
            </w:r>
          </w:p>
        </w:tc>
        <w:tc>
          <w:tcPr>
            <w:tcW w:w="124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项目改造后，通过更换给料及喷射系统，解决了改造前仅能预估活性炭喷入量的缺陷，实现了活性炭系统投加的实时监控，能够定时、定量、均匀地向烟道内喷射粉末活性炭，减少了活性炭外溢的环境污染风险；同时，电气设备更换为防爆设备，降低了焚烧废气处理过程存在的安全风险。</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rPr>
            </w:pPr>
            <w:r>
              <w:rPr>
                <w:rFonts w:hint="eastAsia" w:ascii="仿宋_GB2312" w:hAnsi="宋体" w:eastAsia="仿宋_GB2312" w:cs="宋体"/>
                <w:color w:val="000000"/>
                <w:kern w:val="0"/>
                <w:sz w:val="28"/>
                <w:szCs w:val="28"/>
                <w:lang w:val="en-US" w:eastAsia="zh-CN"/>
              </w:rPr>
              <w:t>146750</w:t>
            </w:r>
          </w:p>
        </w:tc>
      </w:tr>
      <w:tr>
        <w:tblPrEx>
          <w:tblCellMar>
            <w:top w:w="0" w:type="dxa"/>
            <w:left w:w="108" w:type="dxa"/>
            <w:bottom w:w="0" w:type="dxa"/>
            <w:right w:w="108" w:type="dxa"/>
          </w:tblCellMar>
        </w:tblPrEx>
        <w:trPr>
          <w:trHeight w:val="90"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2</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深圳市深水龙岗污水处理有限公司上洋水质净化厂、龙田水质净化厂、沙田水质净化厂进出水口水质在线监测系统站房升级改造项目</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深圳市深水龙岗污水处理有限公司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rPr>
              <w:t>该项目申报的建设内容为：</w:t>
            </w:r>
            <w:r>
              <w:rPr>
                <w:rFonts w:hint="eastAsia" w:ascii="仿宋_GB2312" w:hAnsi="宋体" w:eastAsia="仿宋_GB2312" w:cs="宋体"/>
                <w:color w:val="000000"/>
                <w:kern w:val="0"/>
                <w:sz w:val="28"/>
                <w:szCs w:val="28"/>
                <w:lang w:val="en-US" w:eastAsia="zh-CN"/>
              </w:rPr>
              <w:t>更新混合采配水系统（采样器更换为混合采样器），数据控制单元硬件及程序升级，在线 COD/氨氮/总磷/总氮分析仪硬件及程序升级（实现自动标样核查），站房环境设备和辅材安装。</w:t>
            </w:r>
          </w:p>
        </w:tc>
        <w:tc>
          <w:tcPr>
            <w:tcW w:w="1246" w:type="pc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项目改造后，通过实现混合采样和时间等比、流量等比采样等方式，以及每天一次的自动标液核查，以更准确反映仪表的测量精度和稳定性，有效提高数据准确性，全面准确反映水质情况。</w:t>
            </w:r>
          </w:p>
          <w:p>
            <w:pPr>
              <w:widowControl/>
              <w:jc w:val="center"/>
              <w:rPr>
                <w:rFonts w:hint="eastAsia" w:ascii="仿宋_GB2312" w:hAnsi="宋体" w:eastAsia="仿宋_GB2312" w:cs="宋体"/>
                <w:color w:val="000000"/>
                <w:kern w:val="0"/>
                <w:sz w:val="28"/>
                <w:szCs w:val="28"/>
                <w:lang w:val="en-US" w:eastAsia="zh-CN"/>
              </w:rPr>
            </w:pP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465700</w:t>
            </w:r>
          </w:p>
        </w:tc>
      </w:tr>
      <w:tr>
        <w:tblPrEx>
          <w:tblCellMar>
            <w:top w:w="0" w:type="dxa"/>
            <w:left w:w="108" w:type="dxa"/>
            <w:bottom w:w="0" w:type="dxa"/>
            <w:right w:w="108" w:type="dxa"/>
          </w:tblCellMar>
        </w:tblPrEx>
        <w:trPr>
          <w:trHeight w:val="577"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3</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深圳市深水水头污水处理有限公司葵涌水质净化厂、水头水质净化厂进出水口水质在线监测系统站房升级改造项目</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深圳市深水水头污水处理有限公司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该项目申报建设内容为：更新混合采配水系统（采样器更换为混合采样器），数据控制单元硬件及程序升级， 在线 COD/氨氮/总磷/总氮分析仪硬件及程序升级（实现自动标样核查），站房环境设备和辅材安装。</w:t>
            </w:r>
          </w:p>
        </w:tc>
        <w:tc>
          <w:tcPr>
            <w:tcW w:w="1246" w:type="pc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bidi="ar-SA"/>
              </w:rPr>
              <w:t>项目改造后，通过实现混合采样和时间等比、流量等比采样等方式，以及每天一次的自动标液核查，以更准确反映仪表的测量精度和稳定性，有效提高数据准确性，全面准确反映水质情况。</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204450</w:t>
            </w:r>
          </w:p>
        </w:tc>
      </w:tr>
      <w:tr>
        <w:tblPrEx>
          <w:tblCellMar>
            <w:top w:w="0" w:type="dxa"/>
            <w:left w:w="108" w:type="dxa"/>
            <w:bottom w:w="0" w:type="dxa"/>
            <w:right w:w="108" w:type="dxa"/>
          </w:tblCellMar>
        </w:tblPrEx>
        <w:trPr>
          <w:trHeight w:val="577"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4</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深圳市布吉水质净化厂二期进出水水质在线监测系统新国标升级改造项目</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深圳市楠柏布吉污水处理有限公司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该项目申报建设内容为：更新混合采配水系统（采样器更换为混合采样器），数据控制单元硬件及程序升级，在线 COD/氨氮/总磷/总氮分析仪硬件及程序升级（实现自动标样核查），站房环境设备和辅材安装。</w:t>
            </w:r>
          </w:p>
        </w:tc>
        <w:tc>
          <w:tcPr>
            <w:tcW w:w="1246" w:type="pc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bidi="ar-SA"/>
              </w:rPr>
              <w:t>项目改造后，通过实现混合采样和时间等比、流量等比采样等方式，以及每天一次的自动标液核查，以更准确反映仪表的测量精度和稳定性，有效提高数据准确性，全面准确反映水质情况。</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95900</w:t>
            </w:r>
          </w:p>
        </w:tc>
      </w:tr>
      <w:tr>
        <w:tblPrEx>
          <w:tblCellMar>
            <w:top w:w="0" w:type="dxa"/>
            <w:left w:w="108" w:type="dxa"/>
            <w:bottom w:w="0" w:type="dxa"/>
            <w:right w:w="108" w:type="dxa"/>
          </w:tblCellMar>
        </w:tblPrEx>
        <w:trPr>
          <w:trHeight w:val="577"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5</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深圳市深水布吉水质净化有限公司布吉水质净化厂（一期）进出水口水质在线监测系统站房升级改造项目</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深圳市深水布吉水质净化有限公司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该项目申报建设内容为：更新混合采配水系统和在线分析仪（采样器更换为混合采样器、怡文总氮分析仪更换为 NPW160H总磷/总氮分析仪），数据控制单元硬件及程序升级，在线 COD/氨氮/总磷分析仪硬件及程序升级（实现自动标样核查），站房环境设备和辅材安装。</w:t>
            </w:r>
          </w:p>
        </w:tc>
        <w:tc>
          <w:tcPr>
            <w:tcW w:w="1246" w:type="pc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bidi="ar-SA"/>
              </w:rPr>
              <w:t>项目改造后，通过实现混合采样和时间等比、流量等比采样等方式，以及每天一次的自动标液核查，以更准确反映仪表的测量精度和稳定性，有效提高数据准确性，全面准确反映水质情况。</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177500</w:t>
            </w:r>
          </w:p>
        </w:tc>
      </w:tr>
      <w:tr>
        <w:tblPrEx>
          <w:tblCellMar>
            <w:top w:w="0" w:type="dxa"/>
            <w:left w:w="108" w:type="dxa"/>
            <w:bottom w:w="0" w:type="dxa"/>
            <w:right w:w="108" w:type="dxa"/>
          </w:tblCellMar>
        </w:tblPrEx>
        <w:trPr>
          <w:trHeight w:val="90"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6</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油墨工艺有机废气升级改造工程</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深圳迪爱生化学有限公司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该项目申报的建设内容为：更新原加热搅拌环节有机废气处理装置（工艺为：水喷淋除油+冷凝+催化燃烧），改造后工艺为“冷凝+三层旋流+丝网过滤+催化燃烧，并更新排气筒。</w:t>
            </w:r>
          </w:p>
        </w:tc>
        <w:tc>
          <w:tcPr>
            <w:tcW w:w="1246" w:type="pc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jc w:val="both"/>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bidi="ar-SA"/>
              </w:rPr>
              <w:t>改造前后废气排放口污染物均能达到相应污染物排放标准要求。 改造前挥发性有机物排放量为96.48吨/年，改造后排放量为36.98吨/年，减排量为59.5吨/年，减排率为 61.67%。</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213750</w:t>
            </w:r>
          </w:p>
        </w:tc>
      </w:tr>
      <w:tr>
        <w:tblPrEx>
          <w:tblCellMar>
            <w:top w:w="0" w:type="dxa"/>
            <w:left w:w="108" w:type="dxa"/>
            <w:bottom w:w="0" w:type="dxa"/>
            <w:right w:w="108" w:type="dxa"/>
          </w:tblCellMar>
        </w:tblPrEx>
        <w:trPr>
          <w:trHeight w:val="910"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7</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光明水质净化厂除臭系统更新改造项目</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深圳市深水光明水环境有限公司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该项目申报建设内容为：一期生化反应池除臭装置更新改造：新建69个阀门密封罩、更新144个观察窗密封罩，更换6套除臭塔管线、填料、风机、喷淋管路及配套电气和排水管道。</w:t>
            </w:r>
          </w:p>
        </w:tc>
        <w:tc>
          <w:tcPr>
            <w:tcW w:w="124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该项目改造后废气经</w:t>
            </w:r>
            <w:r>
              <w:rPr>
                <w:rFonts w:hint="eastAsia" w:ascii="仿宋_GB2312" w:hAnsi="宋体" w:eastAsia="仿宋_GB2312" w:cs="宋体"/>
                <w:color w:val="000000"/>
                <w:kern w:val="0"/>
                <w:sz w:val="28"/>
                <w:szCs w:val="28"/>
                <w:lang w:val="en-US" w:eastAsia="zh-CN" w:bidi="ar-SA"/>
              </w:rPr>
              <w:t>两级生物滤池工艺处理后，可降低厂界臭气浓度及恶臭污染物浓度，排放达到《城镇污水处理厂污染物排放标准》（GB18918-2002）厂界一级标准限值要求，且每年可节约自来水约21900m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/a。</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2041550</w:t>
            </w:r>
          </w:p>
        </w:tc>
      </w:tr>
      <w:tr>
        <w:tblPrEx>
          <w:tblCellMar>
            <w:top w:w="0" w:type="dxa"/>
            <w:left w:w="108" w:type="dxa"/>
            <w:bottom w:w="0" w:type="dxa"/>
            <w:right w:w="108" w:type="dxa"/>
          </w:tblCellMar>
        </w:tblPrEx>
        <w:trPr>
          <w:trHeight w:val="3256"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8</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eastAsia="zh-CN"/>
              </w:rPr>
              <w:t>t2废气处理系统更新改造项目</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TCL华星光电技术有限公司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该项目申报建设内容为：1.铜酸废气处理系统：增加1套风量</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37000 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/h处理装置（包括 FRP洗涤塔和附属加药系统、补排水系统、</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37000</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 FRP风机及相关控制系统、电力系统等），将原有一根内径为1.1</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m的排气筒更换成内径为</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1.5</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m排气筒。2.碱性废气处理系统：将原有1套风量</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37000 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/h处理装置拆除（拆除后的洗涤塔和风机移至铜酸废气处理用），更换为风量</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48000</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/h处理装置（包括FRP洗涤塔和附属加药系统、补排水系统、48000 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 FRP风机及相关控制系统、电力系统等)， 将原有一根内径为</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0.95</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m的排气筒更换成内径为</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1.1</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m的排气筒。3.CVD废气处理系统：增加2套25800 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/h集尘机及其附属控制系统，增加2套30000 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/h一次风机及其附属电力控制系统，增加1套风量50000 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/h处理装置（包括三段式立式洗涤塔和附属加药系统、补排水系统、50000</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 FRP风机及相关控制系统、电力系统等），将原有一根内径为1.0</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m的排气筒更换成内径为1.6</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m排气简。</w:t>
            </w:r>
          </w:p>
        </w:tc>
        <w:tc>
          <w:tcPr>
            <w:tcW w:w="124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改造后系统工艺废气中的氯化氢、硫酸雾、氮氧化物、氟化物、颗粒物、 非甲烷总烃等排放满足广东省《大气污染物排放限值》（DB44/27-2001）中的第二时段二级标准限值要求，氨排放满足《恶臭污染物排放标准》（GB14554-93）中的二级标准限值要求。不仅能稳定达标排放，有效地提高铜酸废气处理、碱性废气处理以及CVD废气处理系统的废气处理能力，进一步保证了废气处理效率，降低了系统运行风险，取得了较好的环境效益。</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widowControl/>
              <w:jc w:val="center"/>
              <w:rPr>
                <w:rFonts w:hint="eastAsia" w:ascii="仿宋_GB2312" w:hAnsi="宋体" w:eastAsia="仿宋_GB2312" w:cs="宋体"/>
                <w:color w:val="000000"/>
                <w:kern w:val="0"/>
                <w:sz w:val="28"/>
                <w:szCs w:val="28"/>
                <w:lang w:val="en-US" w:eastAsia="zh-CN"/>
              </w:rPr>
            </w:pP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3600750</w:t>
            </w:r>
          </w:p>
        </w:tc>
      </w:tr>
      <w:tr>
        <w:tblPrEx>
          <w:tblCellMar>
            <w:top w:w="0" w:type="dxa"/>
            <w:left w:w="108" w:type="dxa"/>
            <w:bottom w:w="0" w:type="dxa"/>
            <w:right w:w="108" w:type="dxa"/>
          </w:tblCellMar>
        </w:tblPrEx>
        <w:trPr>
          <w:trHeight w:val="197"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9</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仿宋_GB2312" w:eastAsia="仿宋_GB2312" w:cs="仿宋_GB2312"/>
                <w:color w:val="000000"/>
                <w:sz w:val="28"/>
                <w:szCs w:val="28"/>
              </w:rPr>
              <w:t>中川加能公司VOC治理工程</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中川加能美贸易（深圳）有限公司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该项目申报的建设内容为：</w:t>
            </w:r>
            <w:r>
              <w:rPr>
                <w:rFonts w:hint="eastAsia" w:ascii="仿宋_GB2312" w:hAnsi="宋体" w:eastAsia="仿宋_GB2312" w:cs="宋体"/>
                <w:color w:val="000000"/>
                <w:kern w:val="0"/>
                <w:sz w:val="28"/>
                <w:szCs w:val="28"/>
                <w:lang w:val="en-US" w:eastAsia="zh-CN"/>
              </w:rPr>
              <w:t>1.对原有一楼注塑车间注塑废气、四楼移印车间和烘烤车间喷移印废气进行改造，在原有“收集臂/集气罩”收集后，增设废气净化处理设施，将注塑废气与喷移印废气合并收集后，通过“喷淋塔+活性炭吸附箱（活性炭吸附箱不属于项目申报内容）”净化处理；2.更换注塑车间、喷移印车间和烘烤车间的镀锌排气风管以及天面不锈钢排气风管。</w:t>
            </w:r>
          </w:p>
        </w:tc>
        <w:tc>
          <w:tcPr>
            <w:tcW w:w="1246" w:type="pc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项目改造完成后，喷移印废气中苯、甲苯、二甲苯及总VOCs达到《印刷行业挥发性有机化合物排放标准》（DB44/815-2010）表2的Ⅱ时段排放标准</w:t>
            </w:r>
            <w:r>
              <w:rPr>
                <w:rFonts w:hint="eastAsia" w:ascii="仿宋_GB2312" w:eastAsia="仿宋_GB2312" w:cs="宋体"/>
                <w:color w:val="000000"/>
                <w:kern w:val="0"/>
                <w:sz w:val="28"/>
                <w:szCs w:val="28"/>
                <w:lang w:val="en-US" w:eastAsia="zh-CN"/>
              </w:rPr>
              <w:t>；2021年4-6月与2020年4-6月相比，</w:t>
            </w:r>
            <w:r>
              <w:rPr>
                <w:rFonts w:hint="eastAsia" w:ascii="仿宋_GB2312" w:hAnsi="宋体" w:eastAsia="仿宋_GB2312" w:cs="宋体"/>
                <w:color w:val="000000"/>
                <w:kern w:val="0"/>
                <w:sz w:val="28"/>
                <w:szCs w:val="28"/>
                <w:highlight w:val="none"/>
                <w:lang w:val="en-US" w:eastAsia="zh-CN"/>
              </w:rPr>
              <w:t>可减少喷移印废气VOCs排放量</w:t>
            </w:r>
            <w:r>
              <w:rPr>
                <w:rFonts w:hint="default" w:ascii="仿宋_GB2312" w:eastAsia="仿宋_GB2312" w:cs="宋体"/>
                <w:color w:val="000000"/>
                <w:kern w:val="0"/>
                <w:sz w:val="28"/>
                <w:szCs w:val="28"/>
                <w:highlight w:val="none"/>
                <w:lang w:val="en" w:eastAsia="zh-CN"/>
              </w:rPr>
              <w:t xml:space="preserve"> </w:t>
            </w:r>
            <w:r>
              <w:rPr>
                <w:rFonts w:hint="eastAsia" w:ascii="仿宋_GB2312" w:hAnsi="宋体" w:eastAsia="仿宋_GB2312" w:cs="宋体"/>
                <w:color w:val="000000"/>
                <w:kern w:val="0"/>
                <w:sz w:val="28"/>
                <w:szCs w:val="28"/>
                <w:highlight w:val="none"/>
                <w:lang w:val="en-US" w:eastAsia="zh-CN"/>
              </w:rPr>
              <w:t>0.052</w:t>
            </w:r>
            <w:r>
              <w:rPr>
                <w:rFonts w:hint="default" w:ascii="仿宋_GB2312" w:eastAsia="仿宋_GB2312" w:cs="宋体"/>
                <w:color w:val="000000"/>
                <w:kern w:val="0"/>
                <w:sz w:val="28"/>
                <w:szCs w:val="28"/>
                <w:highlight w:val="none"/>
                <w:lang w:val="en" w:eastAsia="zh-CN"/>
              </w:rPr>
              <w:t xml:space="preserve"> </w:t>
            </w:r>
            <w:r>
              <w:rPr>
                <w:rFonts w:hint="eastAsia" w:ascii="仿宋_GB2312" w:hAnsi="宋体" w:eastAsia="仿宋_GB2312" w:cs="宋体"/>
                <w:color w:val="000000"/>
                <w:kern w:val="0"/>
                <w:sz w:val="28"/>
                <w:szCs w:val="28"/>
                <w:highlight w:val="none"/>
                <w:lang w:val="en-US" w:eastAsia="zh-CN"/>
              </w:rPr>
              <w:t>kg，减少注塑废气VOCs排放量 357 kg。</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8"/>
                <w:szCs w:val="28"/>
              </w:rPr>
            </w:pPr>
          </w:p>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353750</w:t>
            </w:r>
          </w:p>
        </w:tc>
      </w:tr>
      <w:tr>
        <w:tblPrEx>
          <w:tblCellMar>
            <w:top w:w="0" w:type="dxa"/>
            <w:left w:w="108" w:type="dxa"/>
            <w:bottom w:w="0" w:type="dxa"/>
            <w:right w:w="108" w:type="dxa"/>
          </w:tblCellMar>
        </w:tblPrEx>
        <w:trPr>
          <w:trHeight w:val="577"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8"/>
                <w:szCs w:val="28"/>
                <w:highlight w:val="none"/>
                <w:lang w:val="en-US" w:eastAsia="zh-CN"/>
              </w:rPr>
            </w:pPr>
            <w:r>
              <w:rPr>
                <w:rFonts w:hint="eastAsia" w:ascii="仿宋_GB2312" w:hAnsi="宋体" w:eastAsia="仿宋_GB2312" w:cs="宋体"/>
                <w:color w:val="000000"/>
                <w:kern w:val="0"/>
                <w:sz w:val="28"/>
                <w:szCs w:val="28"/>
                <w:highlight w:val="none"/>
                <w:lang w:val="en-US" w:eastAsia="zh-CN"/>
              </w:rPr>
              <w:t>10</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highlight w:val="none"/>
                <w:lang w:val="en-US" w:eastAsia="zh-CN"/>
              </w:rPr>
            </w:pPr>
            <w:r>
              <w:rPr>
                <w:rFonts w:hint="eastAsia" w:ascii="仿宋_GB2312" w:hAnsi="宋体" w:eastAsia="仿宋_GB2312" w:cs="宋体"/>
                <w:color w:val="000000"/>
                <w:kern w:val="0"/>
                <w:sz w:val="28"/>
                <w:szCs w:val="28"/>
                <w:highlight w:val="none"/>
                <w:lang w:val="en-US" w:eastAsia="zh-CN"/>
              </w:rPr>
              <w:t>环保设施更新改造</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highlight w:val="none"/>
                <w:lang w:val="en-US" w:eastAsia="zh-CN"/>
              </w:rPr>
            </w:pPr>
            <w:r>
              <w:rPr>
                <w:rFonts w:hint="eastAsia" w:ascii="仿宋_GB2312" w:hAnsi="宋体" w:eastAsia="仿宋_GB2312" w:cs="宋体"/>
                <w:color w:val="000000"/>
                <w:kern w:val="0"/>
                <w:sz w:val="28"/>
                <w:szCs w:val="28"/>
                <w:highlight w:val="none"/>
                <w:lang w:val="en-US" w:eastAsia="zh-CN"/>
              </w:rPr>
              <w:t>深圳市盛波光电科技有限公司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该项目申报建设内容为：1. 4号RTO处理设施改造钢结构支架，外购蓄热材料填装；重建高温强排阀门，新增高温管道连接至现有排气筒。2.废水处理设施：更换接触氧化池的填料、曝气系统及相关辅料，完善防腐涂层、驯养菌种；更换MBR膜池曝气头及管道等配套设施，并将九组MBR膜由拉爆安装改造成滑轨安装，钢结构池配套增设管道和拍你系统；完善废气收集区域（氧化池、沉淀池及钢结构池）恶臭气体收集设施，新增“旋流板式塔+汽水分离器+UV+活性炭箱”装置处理收集到的恶臭气体，并配套建设</w:t>
            </w:r>
            <w:r>
              <w:rPr>
                <w:rFonts w:hint="default" w:ascii="仿宋_GB2312" w:hAnsi="宋体"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15</w:t>
            </w:r>
            <w:r>
              <w:rPr>
                <w:rFonts w:hint="default" w:ascii="仿宋_GB2312" w:hAnsi="宋体"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m的排放口及采样平台；完善危险化学品暂存间防腐防渗及围堰，新增一个15t的卧式硫酸储罐替代原有桶装方式，并配套建设硫酸输送管道、控制阀门等设施。3.其他设备和建筑物的更新改造，包括垃圾站新建导流沟、户外增设LED双色显示屏。</w:t>
            </w:r>
          </w:p>
        </w:tc>
        <w:tc>
          <w:tcPr>
            <w:tcW w:w="1246" w:type="pc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rPr>
                <w:rFonts w:hint="eastAsia" w:ascii="仿宋_GB2312" w:hAnsi="宋体" w:eastAsia="仿宋_GB2312" w:cs="宋体"/>
                <w:color w:val="000000"/>
                <w:kern w:val="0"/>
                <w:sz w:val="28"/>
                <w:szCs w:val="28"/>
                <w:highlight w:val="none"/>
                <w:lang w:val="en-US" w:eastAsia="zh-CN"/>
              </w:rPr>
            </w:pPr>
            <w:r>
              <w:rPr>
                <w:rFonts w:hint="eastAsia" w:ascii="仿宋_GB2312" w:hAnsi="宋体" w:eastAsia="仿宋_GB2312" w:cs="宋体"/>
                <w:color w:val="000000"/>
                <w:kern w:val="0"/>
                <w:sz w:val="28"/>
                <w:szCs w:val="28"/>
                <w:highlight w:val="none"/>
                <w:lang w:val="en-US" w:eastAsia="zh-CN" w:bidi="ar-SA"/>
              </w:rPr>
              <w:t>项目改造后，通过更新完善废水、废气治理等配套设施，可降低环境风险，促进污染物减排，取得较好的环境效益，其中</w:t>
            </w:r>
            <w:r>
              <w:rPr>
                <w:rFonts w:hint="default" w:ascii="仿宋_GB2312"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COD年减排</w:t>
            </w:r>
            <w:r>
              <w:rPr>
                <w:rFonts w:hint="default" w:ascii="仿宋_GB2312"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11.76</w:t>
            </w:r>
            <w:r>
              <w:rPr>
                <w:rFonts w:hint="default" w:ascii="仿宋_GB2312"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t、氨年减排</w:t>
            </w:r>
            <w:r>
              <w:rPr>
                <w:rFonts w:hint="default" w:ascii="仿宋_GB2312"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47.24</w:t>
            </w:r>
            <w:r>
              <w:rPr>
                <w:rFonts w:hint="default" w:ascii="仿宋_GB2312"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kg、硫化氢年减排</w:t>
            </w:r>
            <w:r>
              <w:rPr>
                <w:rFonts w:hint="default" w:ascii="仿宋_GB2312"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1.37</w:t>
            </w:r>
            <w:r>
              <w:rPr>
                <w:rFonts w:hint="default" w:ascii="仿宋_GB2312"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kg。</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highlight w:val="none"/>
                <w:lang w:val="en-US" w:eastAsia="zh-CN"/>
              </w:rPr>
            </w:pPr>
            <w:r>
              <w:rPr>
                <w:rFonts w:hint="eastAsia" w:ascii="仿宋_GB2312" w:hAnsi="宋体" w:eastAsia="仿宋_GB2312" w:cs="宋体"/>
                <w:color w:val="000000"/>
                <w:kern w:val="0"/>
                <w:sz w:val="28"/>
                <w:szCs w:val="28"/>
                <w:highlight w:val="none"/>
                <w:lang w:val="en-US" w:eastAsia="zh-CN"/>
              </w:rPr>
              <w:t>695000</w:t>
            </w:r>
          </w:p>
        </w:tc>
      </w:tr>
      <w:tr>
        <w:tblPrEx>
          <w:tblCellMar>
            <w:top w:w="0" w:type="dxa"/>
            <w:left w:w="108" w:type="dxa"/>
            <w:bottom w:w="0" w:type="dxa"/>
            <w:right w:w="108" w:type="dxa"/>
          </w:tblCellMar>
        </w:tblPrEx>
        <w:trPr>
          <w:trHeight w:val="577" w:hRule="atLeast"/>
          <w:jc w:val="center"/>
        </w:trPr>
        <w:tc>
          <w:tcPr>
            <w:tcW w:w="4477"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合计</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7995100</w:t>
            </w:r>
          </w:p>
        </w:tc>
      </w:tr>
    </w:tbl>
    <w:p>
      <w:pPr>
        <w:widowControl/>
        <w:jc w:val="center"/>
        <w:rPr>
          <w:rFonts w:hint="eastAsia" w:ascii="仿宋_GB2312" w:hAnsi="宋体" w:eastAsia="仿宋_GB2312" w:cs="宋体"/>
          <w:color w:val="000000"/>
          <w:kern w:val="0"/>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FSGB2312B--GB1-0">
    <w:altName w:val="URW Bookman"/>
    <w:panose1 w:val="00000000000000000000"/>
    <w:charset w:val="00"/>
    <w:family w:val="auto"/>
    <w:pitch w:val="default"/>
    <w:sig w:usb0="00000000" w:usb1="00000000" w:usb2="00000000" w:usb3="00000000" w:csb0="00000000" w:csb1="00000000"/>
  </w:font>
  <w:font w:name="FSGB2312A--GB1-0">
    <w:altName w:val="URW Bookman"/>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URW Bookman">
    <w:panose1 w:val="00000400000000000000"/>
    <w:charset w:val="00"/>
    <w:family w:val="auto"/>
    <w:pitch w:val="default"/>
    <w:sig w:usb0="00000287" w:usb1="00000800" w:usb2="00000000" w:usb3="00000000" w:csb0="6000009F"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2CB5"/>
    <w:rsid w:val="000C44E6"/>
    <w:rsid w:val="001259F0"/>
    <w:rsid w:val="00172A27"/>
    <w:rsid w:val="00202CF4"/>
    <w:rsid w:val="00234318"/>
    <w:rsid w:val="002D2CF5"/>
    <w:rsid w:val="002F0E3F"/>
    <w:rsid w:val="0030105F"/>
    <w:rsid w:val="003040B4"/>
    <w:rsid w:val="00347029"/>
    <w:rsid w:val="00350444"/>
    <w:rsid w:val="00350A43"/>
    <w:rsid w:val="004F2202"/>
    <w:rsid w:val="00714FFA"/>
    <w:rsid w:val="00724FE7"/>
    <w:rsid w:val="00792A2D"/>
    <w:rsid w:val="00845844"/>
    <w:rsid w:val="008C364E"/>
    <w:rsid w:val="008F0963"/>
    <w:rsid w:val="00911713"/>
    <w:rsid w:val="00927118"/>
    <w:rsid w:val="0093175E"/>
    <w:rsid w:val="00960217"/>
    <w:rsid w:val="00960F1A"/>
    <w:rsid w:val="00A42AAA"/>
    <w:rsid w:val="00A55E6A"/>
    <w:rsid w:val="00AE0E64"/>
    <w:rsid w:val="00AF2A40"/>
    <w:rsid w:val="00B3655E"/>
    <w:rsid w:val="00BD7FC0"/>
    <w:rsid w:val="00C14638"/>
    <w:rsid w:val="00E93EC1"/>
    <w:rsid w:val="00EB28A2"/>
    <w:rsid w:val="00F20260"/>
    <w:rsid w:val="00F41420"/>
    <w:rsid w:val="00F54463"/>
    <w:rsid w:val="00F611FB"/>
    <w:rsid w:val="00F9556A"/>
    <w:rsid w:val="10F01E59"/>
    <w:rsid w:val="189467AD"/>
    <w:rsid w:val="26EBC2AC"/>
    <w:rsid w:val="2B9183BA"/>
    <w:rsid w:val="2DEB05F2"/>
    <w:rsid w:val="337632A8"/>
    <w:rsid w:val="33C90D4D"/>
    <w:rsid w:val="3777BA1A"/>
    <w:rsid w:val="38FE0E38"/>
    <w:rsid w:val="3CDF2951"/>
    <w:rsid w:val="3DFFCA5B"/>
    <w:rsid w:val="3EDF5C03"/>
    <w:rsid w:val="3F3DEBB3"/>
    <w:rsid w:val="3FCFB7F0"/>
    <w:rsid w:val="3FFFB2ED"/>
    <w:rsid w:val="4BFF1A39"/>
    <w:rsid w:val="4DFA3509"/>
    <w:rsid w:val="4EFE2651"/>
    <w:rsid w:val="4F6F4D1F"/>
    <w:rsid w:val="54243A63"/>
    <w:rsid w:val="54794D0F"/>
    <w:rsid w:val="559FA8B8"/>
    <w:rsid w:val="5B7F43C0"/>
    <w:rsid w:val="5BE5B4BC"/>
    <w:rsid w:val="5BFF2D3D"/>
    <w:rsid w:val="5CEAE991"/>
    <w:rsid w:val="5D062E95"/>
    <w:rsid w:val="5DED011F"/>
    <w:rsid w:val="5DFB5DAC"/>
    <w:rsid w:val="5DFB6A66"/>
    <w:rsid w:val="5F1F9105"/>
    <w:rsid w:val="5FFB6C77"/>
    <w:rsid w:val="5FFD6005"/>
    <w:rsid w:val="626F2C07"/>
    <w:rsid w:val="64FE1088"/>
    <w:rsid w:val="657FDE1F"/>
    <w:rsid w:val="65FFD66C"/>
    <w:rsid w:val="677FDF4A"/>
    <w:rsid w:val="6B9F8D42"/>
    <w:rsid w:val="6DBED35C"/>
    <w:rsid w:val="6DDAD222"/>
    <w:rsid w:val="6DFF64FA"/>
    <w:rsid w:val="6DFFA89F"/>
    <w:rsid w:val="6FEB532A"/>
    <w:rsid w:val="6FF64492"/>
    <w:rsid w:val="6FF73331"/>
    <w:rsid w:val="6FF73B58"/>
    <w:rsid w:val="72BAE41B"/>
    <w:rsid w:val="76D13559"/>
    <w:rsid w:val="77BA0CB7"/>
    <w:rsid w:val="77E1644C"/>
    <w:rsid w:val="78CF1ADC"/>
    <w:rsid w:val="7AC75EB5"/>
    <w:rsid w:val="7BAA14AA"/>
    <w:rsid w:val="7D6F85D4"/>
    <w:rsid w:val="7F64070E"/>
    <w:rsid w:val="7F707F2E"/>
    <w:rsid w:val="7FBB671C"/>
    <w:rsid w:val="7FBF91C5"/>
    <w:rsid w:val="7FBFFF8D"/>
    <w:rsid w:val="8D6DA007"/>
    <w:rsid w:val="8E8A98AB"/>
    <w:rsid w:val="8EBF322B"/>
    <w:rsid w:val="99F738F7"/>
    <w:rsid w:val="9FF95C66"/>
    <w:rsid w:val="ADBDB16A"/>
    <w:rsid w:val="AFEF0197"/>
    <w:rsid w:val="BB6F519E"/>
    <w:rsid w:val="BC5F2B5F"/>
    <w:rsid w:val="BEFDC27A"/>
    <w:rsid w:val="BEFFA3CA"/>
    <w:rsid w:val="BF033D41"/>
    <w:rsid w:val="BF6F6B37"/>
    <w:rsid w:val="BF7DA3FE"/>
    <w:rsid w:val="BFDAFA3D"/>
    <w:rsid w:val="BFEF9B5E"/>
    <w:rsid w:val="BFF76486"/>
    <w:rsid w:val="C7FFF8E9"/>
    <w:rsid w:val="C83E3EC9"/>
    <w:rsid w:val="CF7DBBBF"/>
    <w:rsid w:val="CFD3F7AE"/>
    <w:rsid w:val="CFEE5F74"/>
    <w:rsid w:val="D3975B87"/>
    <w:rsid w:val="D5DF7093"/>
    <w:rsid w:val="D71F0853"/>
    <w:rsid w:val="D7DF6FFF"/>
    <w:rsid w:val="D9BFCDD0"/>
    <w:rsid w:val="DCE73D64"/>
    <w:rsid w:val="DDFD203A"/>
    <w:rsid w:val="DFF6DFC6"/>
    <w:rsid w:val="E3EF9F64"/>
    <w:rsid w:val="E5E5E407"/>
    <w:rsid w:val="E8C9AEEB"/>
    <w:rsid w:val="EB3F9F31"/>
    <w:rsid w:val="EB637CCE"/>
    <w:rsid w:val="EF07D4F1"/>
    <w:rsid w:val="EF7F49E0"/>
    <w:rsid w:val="F2722F15"/>
    <w:rsid w:val="F2FC5D9E"/>
    <w:rsid w:val="F37B668A"/>
    <w:rsid w:val="F4FD0605"/>
    <w:rsid w:val="F66FE1A0"/>
    <w:rsid w:val="F9DB9703"/>
    <w:rsid w:val="FB1F5F96"/>
    <w:rsid w:val="FBDF4FF9"/>
    <w:rsid w:val="FBEA6028"/>
    <w:rsid w:val="FEB6D351"/>
    <w:rsid w:val="FECF890F"/>
    <w:rsid w:val="FEE64B6D"/>
    <w:rsid w:val="FF4B4B0F"/>
    <w:rsid w:val="FF7A498B"/>
    <w:rsid w:val="FF98879B"/>
    <w:rsid w:val="FFD25E91"/>
    <w:rsid w:val="FFD51960"/>
    <w:rsid w:val="FFDED964"/>
    <w:rsid w:val="FFDFCFAB"/>
    <w:rsid w:val="FFE6C241"/>
    <w:rsid w:val="FFF456AF"/>
    <w:rsid w:val="FFFC6354"/>
    <w:rsid w:val="FFFF40B5"/>
    <w:rsid w:val="FFFFF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fontstyle01"/>
    <w:basedOn w:val="6"/>
    <w:qFormat/>
    <w:uiPriority w:val="0"/>
    <w:rPr>
      <w:rFonts w:ascii="FSGB2312B--GB1-0" w:hAnsi="FSGB2312B--GB1-0" w:eastAsia="FSGB2312B--GB1-0" w:cs="FSGB2312B--GB1-0"/>
      <w:color w:val="000000"/>
      <w:sz w:val="32"/>
      <w:szCs w:val="32"/>
    </w:rPr>
  </w:style>
  <w:style w:type="character" w:customStyle="1" w:styleId="10">
    <w:name w:val="fontstyle11"/>
    <w:basedOn w:val="6"/>
    <w:qFormat/>
    <w:uiPriority w:val="0"/>
    <w:rPr>
      <w:rFonts w:ascii="FSGB2312A--GB1-0" w:hAnsi="FSGB2312A--GB1-0" w:eastAsia="FSGB2312A--GB1-0" w:cs="FSGB2312A--GB1-0"/>
      <w:color w:val="000000"/>
      <w:sz w:val="32"/>
      <w:szCs w:val="32"/>
    </w:rPr>
  </w:style>
  <w:style w:type="character" w:customStyle="1" w:styleId="11">
    <w:name w:val="fontstyle21"/>
    <w:basedOn w:val="6"/>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226</Words>
  <Characters>1291</Characters>
  <Lines>1</Lines>
  <Paragraphs>1</Paragraphs>
  <TotalTime>4</TotalTime>
  <ScaleCrop>false</ScaleCrop>
  <LinksUpToDate>false</LinksUpToDate>
  <CharactersWithSpaces>1514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2022-08-22T23:26:00Z</dcterms:created>
  <dc:creator>黄子安</dc:creator>
  <cp:lastModifiedBy>whshuang</cp:lastModifiedBy>
  <cp:lastPrinted>2023-05-16T11:49:00Z</cp:lastPrinted>
  <dcterms:modified xsi:type="dcterms:W3CDTF">2023-06-08T14:14:19Z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