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2023年环境科研课题立项计划</w:t>
      </w:r>
    </w:p>
    <w:tbl>
      <w:tblPr>
        <w:tblStyle w:val="4"/>
        <w:tblW w:w="9408" w:type="dxa"/>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665"/>
        <w:gridCol w:w="1595"/>
        <w:gridCol w:w="1500"/>
        <w:gridCol w:w="1528"/>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课题名称</w:t>
            </w:r>
          </w:p>
        </w:tc>
        <w:tc>
          <w:tcPr>
            <w:tcW w:w="1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预算安排经费（万元）</w:t>
            </w:r>
          </w:p>
        </w:tc>
        <w:tc>
          <w:tcPr>
            <w:tcW w:w="15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课题拟开展周期（个月）</w:t>
            </w:r>
          </w:p>
        </w:tc>
        <w:tc>
          <w:tcPr>
            <w:tcW w:w="15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采购方式</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深圳市职业人群暴露评估基础数据研究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80</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香港北部都会区建设下的环境承载力和深港环境保护策略研究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106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集中采购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深圳市典型垃圾堆填区地表水-地下水交互与水质响应研究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71</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深圳市典型中小微企业VOCs治理技术路径研究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101</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集中采购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深圳市典型农田土壤主要抗生素残留风险评估及防控对策研究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96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深圳市新销售汽车室内有毒有害新污染物管理名录及气环境健康浓度限值研究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49</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三方询价</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深圳市重点行业碳排放强度负面清单研究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43</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三方询价</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基于路网交通流的深圳智慧化机动车排放监管技术研究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86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深圳市环境教育基地、自然学校规划研究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32</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三方询价</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深圳市声环境自动监测评价技术研究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56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基于烦躁感知的生态声环境质量评价标准研究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40</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三方询价</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多源数据在深圳市生态系统状况调查和评估中的应用研究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204</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集中采购</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深圳气候投融资项目可持续评价研究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46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三方询价</w:t>
            </w:r>
          </w:p>
        </w:tc>
        <w:tc>
          <w:tcPr>
            <w:tcW w:w="144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运用NBS探索红树林生态系统生物多样性保护与应对气候变化协同增效路径的研究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85</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盐田港区域船港一体化深度碳减排推进策略及示范方案研究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58</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w:t>
            </w:r>
            <w:bookmarkStart w:id="0" w:name="_GoBack"/>
            <w:bookmarkEnd w:id="0"/>
            <w:r>
              <w:rPr>
                <w:rFonts w:hint="eastAsia" w:ascii="宋体" w:hAnsi="宋体" w:eastAsia="宋体" w:cs="宋体"/>
                <w:i w:val="0"/>
                <w:iCs w:val="0"/>
                <w:color w:val="000000"/>
                <w:kern w:val="0"/>
                <w:sz w:val="21"/>
                <w:szCs w:val="21"/>
                <w:u w:val="none"/>
                <w:lang w:val="en-US" w:eastAsia="zh-CN" w:bidi="ar"/>
              </w:rPr>
              <w:t>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龙华区观澜河流域水生态环境质量调查与底泥污染风险研究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98</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龙岗区生态系统碳汇管理提升研究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79</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大鹏新区海域溶解氧提升的机理研究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76</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深汕特别合作区海洋碳汇途径识别与通量测算综合研究</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67</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52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自行采购</w:t>
            </w:r>
          </w:p>
        </w:tc>
        <w:tc>
          <w:tcPr>
            <w:tcW w:w="14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已签订合同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40"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i w:val="0"/>
                <w:color w:val="000000"/>
                <w:kern w:val="0"/>
                <w:sz w:val="22"/>
                <w:szCs w:val="22"/>
                <w:u w:val="none"/>
                <w:lang w:val="en-US" w:eastAsia="zh-CN" w:bidi="ar"/>
              </w:rPr>
              <w:t>1473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44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微软雅黑" w:hAnsi="微软雅黑" w:eastAsia="微软雅黑" w:cs="微软雅黑"/>
          <w:i w:val="0"/>
          <w:iCs w:val="0"/>
          <w:caps w:val="0"/>
          <w:color w:val="0672BA"/>
          <w:spacing w:val="0"/>
          <w:sz w:val="37"/>
          <w:szCs w:val="37"/>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zRlMGRhYjU2ZTM2MTFkM2IxOTk1ZDQyZTc5NGUifQ=="/>
  </w:docVars>
  <w:rsids>
    <w:rsidRoot w:val="6E27618C"/>
    <w:rsid w:val="0F5A7F2B"/>
    <w:rsid w:val="343E1F11"/>
    <w:rsid w:val="6E27618C"/>
    <w:rsid w:val="701D28B0"/>
    <w:rsid w:val="97FF6BCC"/>
    <w:rsid w:val="BFFD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787</Words>
  <Characters>1049</Characters>
  <Lines>0</Lines>
  <Paragraphs>0</Paragraphs>
  <TotalTime>0</TotalTime>
  <ScaleCrop>false</ScaleCrop>
  <LinksUpToDate>false</LinksUpToDate>
  <CharactersWithSpaces>1049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2022-12-13T17:54:00Z</dcterms:created>
  <dc:creator>雨幕后的魅影</dc:creator>
  <cp:lastModifiedBy>yangying</cp:lastModifiedBy>
  <cp:lastPrinted>2023-12-07T17:22:13Z</cp:lastPrinted>
  <dcterms:modified xsi:type="dcterms:W3CDTF">2023-12-07T17:22:17Z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D715C52D61A648D39484C2F9234F1330</vt:lpwstr>
  </property>
</Properties>
</file>