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18E" w:rsidRPr="0034518E" w:rsidRDefault="0034518E" w:rsidP="0034518E">
      <w:pPr>
        <w:spacing w:line="360" w:lineRule="auto"/>
        <w:jc w:val="left"/>
        <w:rPr>
          <w:rFonts w:ascii="仿宋_GB2312" w:hAnsi="宋体"/>
        </w:rPr>
      </w:pPr>
      <w:r w:rsidRPr="0034518E">
        <w:rPr>
          <w:rFonts w:ascii="仿宋_GB2312" w:hAnsi="宋体" w:hint="eastAsia"/>
        </w:rPr>
        <w:t>附件3</w:t>
      </w:r>
    </w:p>
    <w:p w:rsidR="0034518E" w:rsidRPr="0034518E" w:rsidRDefault="0034518E" w:rsidP="0034518E">
      <w:pPr>
        <w:spacing w:line="360" w:lineRule="auto"/>
        <w:rPr>
          <w:rFonts w:ascii="仿宋_GB2312"/>
          <w:spacing w:val="-4"/>
        </w:rPr>
      </w:pPr>
    </w:p>
    <w:p w:rsidR="0034518E" w:rsidRPr="0034518E" w:rsidRDefault="0034518E" w:rsidP="0034518E">
      <w:pPr>
        <w:spacing w:line="360" w:lineRule="auto"/>
        <w:jc w:val="center"/>
        <w:rPr>
          <w:rFonts w:ascii="宋体" w:eastAsia="宋体" w:hAnsi="宋体"/>
          <w:b/>
          <w:spacing w:val="-4"/>
          <w:sz w:val="44"/>
          <w:szCs w:val="44"/>
        </w:rPr>
      </w:pPr>
      <w:r w:rsidRPr="0034518E">
        <w:rPr>
          <w:rFonts w:ascii="宋体" w:eastAsia="宋体" w:hAnsi="宋体" w:hint="eastAsia"/>
          <w:b/>
          <w:spacing w:val="-4"/>
          <w:sz w:val="44"/>
          <w:szCs w:val="44"/>
        </w:rPr>
        <w:t>深圳市建设项目竣工环境保护验收管理办法</w:t>
      </w:r>
    </w:p>
    <w:p w:rsidR="0034518E" w:rsidRPr="0034518E" w:rsidRDefault="0034518E" w:rsidP="0034518E">
      <w:pPr>
        <w:spacing w:line="360" w:lineRule="auto"/>
        <w:jc w:val="center"/>
        <w:rPr>
          <w:rFonts w:ascii="仿宋_GB2312"/>
          <w:b/>
        </w:rPr>
      </w:pPr>
    </w:p>
    <w:p w:rsidR="0034518E" w:rsidRPr="0034518E" w:rsidRDefault="0034518E" w:rsidP="0034518E">
      <w:pPr>
        <w:spacing w:line="360" w:lineRule="auto"/>
        <w:jc w:val="center"/>
        <w:rPr>
          <w:rFonts w:ascii="黑体" w:eastAsia="黑体"/>
        </w:rPr>
      </w:pPr>
      <w:r w:rsidRPr="0034518E">
        <w:rPr>
          <w:rFonts w:ascii="黑体" w:eastAsia="黑体" w:hint="eastAsia"/>
        </w:rPr>
        <w:t>第一章 总则</w:t>
      </w:r>
    </w:p>
    <w:p w:rsidR="0034518E" w:rsidRPr="0034518E" w:rsidRDefault="0034518E" w:rsidP="0034518E">
      <w:pPr>
        <w:spacing w:line="360" w:lineRule="auto"/>
        <w:ind w:firstLineChars="196" w:firstLine="627"/>
        <w:rPr>
          <w:rFonts w:ascii="仿宋_GB2312" w:hAnsi="宋体"/>
          <w:b/>
        </w:rPr>
      </w:pPr>
      <w:r w:rsidRPr="0034518E">
        <w:rPr>
          <w:rFonts w:ascii="黑体" w:eastAsia="黑体" w:hAnsi="宋体" w:cs="宋体" w:hint="eastAsia"/>
          <w:bCs/>
          <w:kern w:val="0"/>
        </w:rPr>
        <w:t>第一条</w:t>
      </w:r>
      <w:r w:rsidRPr="0034518E">
        <w:rPr>
          <w:rFonts w:ascii="仿宋_GB2312" w:hAnsi="宋体" w:hint="eastAsia"/>
        </w:rPr>
        <w:t xml:space="preserve">  为加强我市建设项目竣工环境保护验收管理，监督落实环境保护设施与建设项目主体工程同时设计、同时施工、同时投入使用，以及落实其他需配套采取的环境保护措施，防治环境污染和生态破坏，根据《深圳经济特区建设项目环境保护条例》、《建设项目竣工环境保护验收管理办法》等有关法律法规规章，结合本市实际，制定本办法。</w:t>
      </w:r>
    </w:p>
    <w:p w:rsidR="0034518E" w:rsidRPr="0034518E" w:rsidRDefault="0034518E" w:rsidP="0034518E">
      <w:pPr>
        <w:spacing w:line="360" w:lineRule="auto"/>
        <w:ind w:firstLineChars="196" w:firstLine="627"/>
        <w:rPr>
          <w:rFonts w:ascii="仿宋_GB2312" w:hAnsi="宋体"/>
        </w:rPr>
      </w:pPr>
      <w:r w:rsidRPr="0034518E">
        <w:rPr>
          <w:rFonts w:ascii="黑体" w:eastAsia="黑体" w:hAnsi="宋体" w:cs="宋体" w:hint="eastAsia"/>
          <w:bCs/>
          <w:kern w:val="0"/>
        </w:rPr>
        <w:t>第二条</w:t>
      </w:r>
      <w:r w:rsidRPr="0034518E">
        <w:rPr>
          <w:rFonts w:ascii="仿宋_GB2312" w:hAnsi="宋体" w:hint="eastAsia"/>
        </w:rPr>
        <w:t xml:space="preserve">  本办法适用于本市行政区域内依法应编制环境影响报告书（表）建设项目竣工环境保护验收的监督管理。</w:t>
      </w:r>
    </w:p>
    <w:p w:rsidR="0034518E" w:rsidRPr="0034518E" w:rsidRDefault="0034518E" w:rsidP="0034518E">
      <w:pPr>
        <w:spacing w:line="360" w:lineRule="auto"/>
        <w:ind w:firstLineChars="196" w:firstLine="627"/>
        <w:rPr>
          <w:rFonts w:ascii="仿宋_GB2312" w:hAnsi="宋体"/>
          <w:b/>
        </w:rPr>
      </w:pPr>
      <w:r w:rsidRPr="0034518E">
        <w:rPr>
          <w:rFonts w:ascii="仿宋_GB2312" w:hAnsi="宋体" w:cs="宋体" w:hint="eastAsia"/>
          <w:kern w:val="0"/>
        </w:rPr>
        <w:t>填报环境影响登记表的建设项目，根据本办法规定免于办理竣工环境保护验收手续。</w:t>
      </w:r>
    </w:p>
    <w:p w:rsidR="0034518E" w:rsidRPr="0034518E" w:rsidRDefault="0034518E" w:rsidP="0034518E">
      <w:pPr>
        <w:spacing w:line="360" w:lineRule="auto"/>
        <w:ind w:firstLineChars="196" w:firstLine="627"/>
        <w:rPr>
          <w:rFonts w:ascii="仿宋_GB2312" w:hAnsi="宋体"/>
        </w:rPr>
      </w:pPr>
      <w:r w:rsidRPr="0034518E">
        <w:rPr>
          <w:rFonts w:ascii="黑体" w:eastAsia="黑体" w:hAnsi="宋体" w:cs="宋体" w:hint="eastAsia"/>
          <w:bCs/>
          <w:kern w:val="0"/>
        </w:rPr>
        <w:t>第三条</w:t>
      </w:r>
      <w:r w:rsidRPr="0034518E">
        <w:rPr>
          <w:rFonts w:ascii="仿宋_GB2312" w:hAnsi="宋体" w:hint="eastAsia"/>
        </w:rPr>
        <w:t xml:space="preserve">  建设项目竣工环境保护验收范围包括：</w:t>
      </w:r>
    </w:p>
    <w:p w:rsidR="0034518E" w:rsidRPr="0034518E" w:rsidRDefault="0034518E" w:rsidP="0034518E">
      <w:pPr>
        <w:spacing w:line="360" w:lineRule="auto"/>
        <w:ind w:firstLineChars="200" w:firstLine="640"/>
        <w:rPr>
          <w:rFonts w:ascii="仿宋_GB2312" w:hAnsi="宋体"/>
        </w:rPr>
      </w:pPr>
      <w:r w:rsidRPr="0034518E">
        <w:rPr>
          <w:rFonts w:ascii="仿宋_GB2312" w:hAnsi="宋体" w:hint="eastAsia"/>
        </w:rPr>
        <w:t>（一）与建设项目有关的各项环境保护设施，包括为防治污染和保护环境所建成或者配备的工程、设备、装置和监测手段，各项生态保护设施；</w:t>
      </w:r>
    </w:p>
    <w:p w:rsidR="0034518E" w:rsidRPr="0034518E" w:rsidRDefault="0034518E" w:rsidP="0034518E">
      <w:pPr>
        <w:spacing w:line="360" w:lineRule="auto"/>
        <w:ind w:firstLineChars="200" w:firstLine="640"/>
        <w:rPr>
          <w:rFonts w:ascii="仿宋_GB2312" w:hAnsi="宋体"/>
          <w:b/>
        </w:rPr>
      </w:pPr>
      <w:r w:rsidRPr="0034518E">
        <w:rPr>
          <w:rFonts w:ascii="仿宋_GB2312" w:hAnsi="宋体" w:hint="eastAsia"/>
        </w:rPr>
        <w:t>（二）环境影响报告书（表）和有关项目设计文件规定应采取的其他各项环境保护措施。</w:t>
      </w:r>
    </w:p>
    <w:p w:rsidR="0034518E" w:rsidRPr="0034518E" w:rsidRDefault="0034518E" w:rsidP="0034518E">
      <w:pPr>
        <w:spacing w:line="360" w:lineRule="auto"/>
        <w:ind w:firstLineChars="200" w:firstLine="640"/>
        <w:rPr>
          <w:rFonts w:ascii="仿宋_GB2312" w:hAnsi="宋体"/>
        </w:rPr>
      </w:pPr>
      <w:r w:rsidRPr="0034518E">
        <w:rPr>
          <w:rFonts w:ascii="黑体" w:eastAsia="黑体" w:hAnsi="宋体" w:cs="宋体" w:hint="eastAsia"/>
          <w:bCs/>
          <w:kern w:val="0"/>
        </w:rPr>
        <w:t>第四条</w:t>
      </w:r>
      <w:r w:rsidRPr="0034518E">
        <w:rPr>
          <w:rFonts w:ascii="仿宋_GB2312" w:hAnsi="宋体" w:hint="eastAsia"/>
        </w:rPr>
        <w:t xml:space="preserve">  市、区环保部门按照建设项目环评审批权限负责建</w:t>
      </w:r>
      <w:r w:rsidRPr="0034518E">
        <w:rPr>
          <w:rFonts w:ascii="仿宋_GB2312" w:hAnsi="宋体" w:hint="eastAsia"/>
        </w:rPr>
        <w:lastRenderedPageBreak/>
        <w:t>设项目竣工环境保护验收。</w:t>
      </w:r>
      <w:bookmarkStart w:id="0" w:name="_Toc370412456"/>
    </w:p>
    <w:p w:rsidR="0034518E" w:rsidRPr="0034518E" w:rsidRDefault="0034518E" w:rsidP="0034518E">
      <w:pPr>
        <w:spacing w:line="360" w:lineRule="auto"/>
        <w:ind w:firstLineChars="200" w:firstLine="640"/>
        <w:rPr>
          <w:rFonts w:ascii="仿宋_GB2312" w:hAnsi="宋体"/>
        </w:rPr>
      </w:pPr>
    </w:p>
    <w:p w:rsidR="0034518E" w:rsidRPr="0034518E" w:rsidRDefault="0034518E" w:rsidP="0034518E">
      <w:pPr>
        <w:spacing w:line="360" w:lineRule="auto"/>
        <w:jc w:val="center"/>
        <w:rPr>
          <w:rFonts w:ascii="黑体" w:eastAsia="黑体"/>
        </w:rPr>
      </w:pPr>
      <w:r w:rsidRPr="0034518E">
        <w:rPr>
          <w:rFonts w:ascii="黑体" w:eastAsia="黑体" w:hint="eastAsia"/>
        </w:rPr>
        <w:t>第二章 建设项目分类分级管理</w:t>
      </w:r>
      <w:bookmarkEnd w:id="0"/>
    </w:p>
    <w:p w:rsidR="0034518E" w:rsidRPr="0034518E" w:rsidRDefault="0034518E" w:rsidP="0034518E">
      <w:pPr>
        <w:spacing w:line="360" w:lineRule="auto"/>
        <w:ind w:firstLineChars="196" w:firstLine="627"/>
        <w:rPr>
          <w:rFonts w:ascii="仿宋_GB2312" w:hAnsi="宋体"/>
        </w:rPr>
      </w:pPr>
      <w:r w:rsidRPr="0034518E">
        <w:rPr>
          <w:rFonts w:ascii="黑体" w:eastAsia="黑体" w:hAnsi="宋体" w:cs="宋体" w:hint="eastAsia"/>
          <w:bCs/>
          <w:kern w:val="0"/>
        </w:rPr>
        <w:t>第五条</w:t>
      </w:r>
      <w:r w:rsidRPr="0034518E">
        <w:rPr>
          <w:rFonts w:ascii="仿宋_GB2312" w:hAnsi="宋体" w:hint="eastAsia"/>
        </w:rPr>
        <w:t xml:space="preserve">  根据建设项目环境影响的特点，实行分类管理，具体分类如下：</w:t>
      </w:r>
    </w:p>
    <w:p w:rsidR="0034518E" w:rsidRPr="0034518E" w:rsidRDefault="0034518E" w:rsidP="0034518E">
      <w:pPr>
        <w:spacing w:line="360" w:lineRule="auto"/>
        <w:ind w:firstLineChars="200" w:firstLine="640"/>
        <w:rPr>
          <w:rFonts w:ascii="仿宋_GB2312" w:hAnsi="宋体"/>
        </w:rPr>
      </w:pPr>
      <w:r w:rsidRPr="0034518E">
        <w:rPr>
          <w:rFonts w:ascii="仿宋_GB2312" w:hAnsi="宋体" w:hint="eastAsia"/>
        </w:rPr>
        <w:t>（一）污染类建设项目，是指排放污染物并可能对周边环境造成污染和危害影响的建设项目，主要包括电力、黑色金属、有色金属、金属制品、非金属矿采选及制品制造、机械电子、石化化工、医药、轻工、纺织化纤、核与辐射等建设项目。</w:t>
      </w:r>
    </w:p>
    <w:p w:rsidR="0034518E" w:rsidRPr="0034518E" w:rsidRDefault="0034518E" w:rsidP="0034518E">
      <w:pPr>
        <w:spacing w:line="360" w:lineRule="auto"/>
        <w:ind w:firstLineChars="200" w:firstLine="640"/>
        <w:rPr>
          <w:rFonts w:ascii="仿宋_GB2312" w:hAnsi="宋体"/>
          <w:b/>
        </w:rPr>
      </w:pPr>
      <w:r w:rsidRPr="0034518E">
        <w:rPr>
          <w:rFonts w:ascii="仿宋_GB2312" w:hAnsi="宋体" w:hint="eastAsia"/>
        </w:rPr>
        <w:t>（二）生态类建设项目，是指涉及新的土地开发和占用，并可能对生态环境产生影响的建设项目，主要包括水利、农林牧渔、石油天然气、公路、铁路、民航机场、水运、城市交通设施、城市基础设施及房地产、社会事业与服务业等建设项目。</w:t>
      </w:r>
    </w:p>
    <w:p w:rsidR="0034518E" w:rsidRPr="0034518E" w:rsidRDefault="0034518E" w:rsidP="0034518E">
      <w:pPr>
        <w:spacing w:line="360" w:lineRule="auto"/>
        <w:ind w:firstLineChars="200" w:firstLine="640"/>
        <w:rPr>
          <w:rFonts w:ascii="仿宋_GB2312" w:hAnsi="宋体"/>
        </w:rPr>
      </w:pPr>
      <w:r w:rsidRPr="0034518E">
        <w:rPr>
          <w:rFonts w:ascii="黑体" w:eastAsia="黑体" w:hAnsi="宋体" w:cs="宋体" w:hint="eastAsia"/>
          <w:bCs/>
          <w:kern w:val="0"/>
        </w:rPr>
        <w:t>第六条</w:t>
      </w:r>
      <w:r w:rsidRPr="0034518E">
        <w:rPr>
          <w:rFonts w:ascii="仿宋_GB2312" w:hAnsi="宋体" w:hint="eastAsia"/>
        </w:rPr>
        <w:t xml:space="preserve">  根据建设项目环境影响程度，实行分级管理，具体分级如下：</w:t>
      </w:r>
    </w:p>
    <w:p w:rsidR="0034518E" w:rsidRPr="0034518E" w:rsidRDefault="0034518E" w:rsidP="0034518E">
      <w:pPr>
        <w:spacing w:line="360" w:lineRule="auto"/>
        <w:ind w:firstLineChars="200" w:firstLine="640"/>
        <w:rPr>
          <w:rFonts w:ascii="仿宋_GB2312" w:hAnsi="宋体"/>
        </w:rPr>
      </w:pPr>
      <w:r w:rsidRPr="0034518E">
        <w:rPr>
          <w:rFonts w:ascii="仿宋_GB2312" w:hAnsi="宋体" w:hint="eastAsia"/>
        </w:rPr>
        <w:t>（一）Ⅰ级建设项目。包括编制环境影响报告书的污染类建设项目和生态类建设项目。</w:t>
      </w:r>
    </w:p>
    <w:p w:rsidR="0034518E" w:rsidRPr="0034518E" w:rsidRDefault="0034518E" w:rsidP="0034518E">
      <w:pPr>
        <w:spacing w:line="360" w:lineRule="auto"/>
        <w:ind w:firstLineChars="200" w:firstLine="640"/>
        <w:rPr>
          <w:rFonts w:ascii="仿宋_GB2312" w:hAnsi="宋体"/>
        </w:rPr>
      </w:pPr>
      <w:r w:rsidRPr="0034518E">
        <w:rPr>
          <w:rFonts w:ascii="仿宋_GB2312" w:hAnsi="宋体" w:hint="eastAsia"/>
        </w:rPr>
        <w:t>（二）Ⅱ级建设项目。包括编制环境影响报告表的生态类建设项目；编制环境影响报告表且环境影响报告表认定需配套建设污水、废气等污染防治设施，并要求纳入“三同时”管理的污染类建设项目。</w:t>
      </w:r>
    </w:p>
    <w:p w:rsidR="0034518E" w:rsidRPr="0034518E" w:rsidRDefault="0034518E" w:rsidP="0034518E">
      <w:pPr>
        <w:spacing w:line="360" w:lineRule="auto"/>
        <w:ind w:firstLineChars="200" w:firstLine="640"/>
        <w:rPr>
          <w:rFonts w:ascii="仿宋_GB2312" w:hAnsi="宋体"/>
          <w:b/>
        </w:rPr>
      </w:pPr>
      <w:r w:rsidRPr="0034518E">
        <w:rPr>
          <w:rFonts w:ascii="仿宋_GB2312" w:hAnsi="宋体" w:hint="eastAsia"/>
        </w:rPr>
        <w:t>（三）Ⅲ级建设项目。包括编制环境影响报告表且环境影响</w:t>
      </w:r>
      <w:r w:rsidRPr="0034518E">
        <w:rPr>
          <w:rFonts w:ascii="仿宋_GB2312" w:hAnsi="宋体" w:hint="eastAsia"/>
        </w:rPr>
        <w:lastRenderedPageBreak/>
        <w:t>报告表认定不需配套建设污水、废气等污染防治设施，且未要求纳入“三同时”管理的污染类建设项目；填报环境影响登记表的污染类建设项目和生态类建设项目。</w:t>
      </w:r>
    </w:p>
    <w:p w:rsidR="0034518E" w:rsidRPr="0034518E" w:rsidRDefault="0034518E" w:rsidP="0034518E">
      <w:pPr>
        <w:spacing w:line="360" w:lineRule="auto"/>
        <w:ind w:firstLineChars="200" w:firstLine="640"/>
        <w:rPr>
          <w:rFonts w:ascii="仿宋_GB2312" w:hAnsi="宋体"/>
        </w:rPr>
      </w:pPr>
      <w:r w:rsidRPr="0034518E">
        <w:rPr>
          <w:rFonts w:ascii="黑体" w:eastAsia="黑体" w:hAnsi="宋体" w:cs="宋体" w:hint="eastAsia"/>
          <w:bCs/>
          <w:kern w:val="0"/>
        </w:rPr>
        <w:t>第七条</w:t>
      </w:r>
      <w:r w:rsidRPr="0034518E">
        <w:rPr>
          <w:rFonts w:ascii="仿宋_GB2312" w:hAnsi="宋体" w:hint="eastAsia"/>
        </w:rPr>
        <w:t xml:space="preserve">  Ⅰ级和Ⅱ级建设项目必须经有审批权限的环保部门验收合格后，方可投入生产或者使用。</w:t>
      </w:r>
    </w:p>
    <w:p w:rsidR="0034518E" w:rsidRPr="0034518E" w:rsidRDefault="0034518E" w:rsidP="0034518E">
      <w:pPr>
        <w:spacing w:line="360" w:lineRule="auto"/>
        <w:ind w:firstLineChars="200" w:firstLine="640"/>
        <w:rPr>
          <w:rFonts w:ascii="仿宋_GB2312" w:hAnsi="宋体"/>
        </w:rPr>
      </w:pPr>
      <w:r w:rsidRPr="0034518E">
        <w:rPr>
          <w:rFonts w:ascii="仿宋_GB2312" w:hAnsi="宋体" w:hint="eastAsia"/>
        </w:rPr>
        <w:t>Ⅲ级建设项目免于办理建设项目竣工环境保护验收手续。</w:t>
      </w:r>
    </w:p>
    <w:p w:rsidR="0034518E" w:rsidRPr="0034518E" w:rsidRDefault="0034518E" w:rsidP="0034518E">
      <w:pPr>
        <w:spacing w:line="360" w:lineRule="auto"/>
        <w:jc w:val="center"/>
        <w:rPr>
          <w:rFonts w:ascii="仿宋_GB2312" w:hAnsi="宋体"/>
          <w:b/>
        </w:rPr>
      </w:pPr>
      <w:bookmarkStart w:id="1" w:name="_Toc370412458"/>
    </w:p>
    <w:p w:rsidR="0034518E" w:rsidRPr="0034518E" w:rsidRDefault="0034518E" w:rsidP="0034518E">
      <w:pPr>
        <w:spacing w:line="360" w:lineRule="auto"/>
        <w:jc w:val="center"/>
        <w:rPr>
          <w:rFonts w:ascii="黑体" w:eastAsia="黑体" w:hAnsi="宋体"/>
        </w:rPr>
      </w:pPr>
      <w:r w:rsidRPr="0034518E">
        <w:rPr>
          <w:rFonts w:ascii="黑体" w:eastAsia="黑体" w:hAnsi="宋体" w:hint="eastAsia"/>
        </w:rPr>
        <w:t>第三章 竣工环境保护验收申请</w:t>
      </w:r>
      <w:bookmarkEnd w:id="1"/>
    </w:p>
    <w:p w:rsidR="0034518E" w:rsidRPr="0034518E" w:rsidRDefault="0034518E" w:rsidP="0034518E">
      <w:pPr>
        <w:spacing w:line="360" w:lineRule="auto"/>
        <w:ind w:firstLineChars="196" w:firstLine="627"/>
        <w:rPr>
          <w:rFonts w:ascii="仿宋_GB2312" w:hAnsi="宋体"/>
        </w:rPr>
      </w:pPr>
      <w:r w:rsidRPr="0034518E">
        <w:rPr>
          <w:rFonts w:ascii="黑体" w:eastAsia="黑体" w:hAnsi="宋体" w:cs="宋体" w:hint="eastAsia"/>
          <w:bCs/>
          <w:kern w:val="0"/>
        </w:rPr>
        <w:t>第八条</w:t>
      </w:r>
      <w:r w:rsidRPr="0034518E">
        <w:rPr>
          <w:rFonts w:ascii="仿宋_GB2312" w:hAnsi="宋体" w:hint="eastAsia"/>
        </w:rPr>
        <w:t xml:space="preserve">  污染类建设项目主体工程完工后，需要进行试生产（运行）的，建设单位应当在投入试生产（运行）前向项目所在地环保部门进行污染物申报登记，申请领取污染物排放许可证（从事危险废物、严控废物等收集、贮存、利用、处置经营活动的单位，须申请相应的许可证），其配套建设的环境保护设施必须与主体工程同时投入试运行。</w:t>
      </w:r>
    </w:p>
    <w:p w:rsidR="0034518E" w:rsidRPr="0034518E" w:rsidRDefault="0034518E" w:rsidP="0034518E">
      <w:pPr>
        <w:spacing w:line="360" w:lineRule="auto"/>
        <w:ind w:firstLineChars="196" w:firstLine="627"/>
        <w:rPr>
          <w:rFonts w:ascii="仿宋_GB2312" w:hAnsi="宋体"/>
          <w:b/>
        </w:rPr>
      </w:pPr>
      <w:r w:rsidRPr="0034518E">
        <w:rPr>
          <w:rFonts w:ascii="仿宋_GB2312" w:hAnsi="宋体" w:hint="eastAsia"/>
        </w:rPr>
        <w:t>建设单位应当在污染物排放许可证到期前，向当地环保部门申请竣工环境保护验收。</w:t>
      </w:r>
    </w:p>
    <w:p w:rsidR="0034518E" w:rsidRPr="0034518E" w:rsidRDefault="0034518E" w:rsidP="0034518E">
      <w:pPr>
        <w:spacing w:line="360" w:lineRule="auto"/>
        <w:ind w:firstLineChars="196" w:firstLine="627"/>
        <w:rPr>
          <w:rFonts w:ascii="仿宋_GB2312" w:hAnsi="宋体"/>
        </w:rPr>
      </w:pPr>
      <w:r w:rsidRPr="0034518E">
        <w:rPr>
          <w:rFonts w:ascii="黑体" w:eastAsia="黑体" w:hAnsi="宋体" w:cs="宋体" w:hint="eastAsia"/>
          <w:bCs/>
          <w:kern w:val="0"/>
        </w:rPr>
        <w:t>第九条</w:t>
      </w:r>
      <w:r w:rsidRPr="0034518E">
        <w:rPr>
          <w:rFonts w:ascii="仿宋_GB2312" w:hAnsi="宋体" w:hint="eastAsia"/>
        </w:rPr>
        <w:t xml:space="preserve">  生态类建设项目由企业自行决定是否进行试生产（运行）和具体的试生产（运行）期限，但最长不得超过1年。试生产（运行）安排应当报当地环保部门。</w:t>
      </w:r>
    </w:p>
    <w:p w:rsidR="0034518E" w:rsidRPr="0034518E" w:rsidRDefault="0034518E" w:rsidP="0034518E">
      <w:pPr>
        <w:spacing w:line="360" w:lineRule="auto"/>
        <w:ind w:firstLineChars="196" w:firstLine="627"/>
        <w:rPr>
          <w:rFonts w:ascii="仿宋_GB2312" w:hAnsi="宋体"/>
        </w:rPr>
      </w:pPr>
      <w:r w:rsidRPr="0034518E">
        <w:rPr>
          <w:rFonts w:ascii="仿宋_GB2312" w:hAnsi="宋体" w:hint="eastAsia"/>
        </w:rPr>
        <w:t>项目试运行期限届满时，环保部门应当启动竣工环境保护验收程序。</w:t>
      </w:r>
    </w:p>
    <w:p w:rsidR="0034518E" w:rsidRPr="0034518E" w:rsidRDefault="0034518E" w:rsidP="0034518E">
      <w:pPr>
        <w:spacing w:line="360" w:lineRule="auto"/>
        <w:ind w:firstLineChars="200" w:firstLine="640"/>
        <w:rPr>
          <w:rFonts w:ascii="仿宋_GB2312" w:hAnsi="宋体"/>
          <w:b/>
        </w:rPr>
      </w:pPr>
      <w:r w:rsidRPr="0034518E">
        <w:rPr>
          <w:rFonts w:ascii="黑体" w:eastAsia="黑体" w:hAnsi="宋体" w:cs="宋体" w:hint="eastAsia"/>
          <w:bCs/>
          <w:kern w:val="0"/>
        </w:rPr>
        <w:t>第十条</w:t>
      </w:r>
      <w:r w:rsidRPr="0034518E">
        <w:rPr>
          <w:rFonts w:ascii="仿宋_GB2312" w:hAnsi="宋体" w:hint="eastAsia"/>
        </w:rPr>
        <w:t xml:space="preserve">  对于建设单位实际生产能力可以达到75%的验收生</w:t>
      </w:r>
      <w:r w:rsidRPr="0034518E">
        <w:rPr>
          <w:rFonts w:ascii="仿宋_GB2312" w:hAnsi="宋体" w:hint="eastAsia"/>
        </w:rPr>
        <w:lastRenderedPageBreak/>
        <w:t>产负荷要求，但受市场影响，生产不稳定的，建设单位在验收监测期间需将生产负荷调整至规定条件后，方可进行验收监测和竣工验收。</w:t>
      </w:r>
    </w:p>
    <w:p w:rsidR="0034518E" w:rsidRPr="0034518E" w:rsidRDefault="0034518E" w:rsidP="0034518E">
      <w:pPr>
        <w:spacing w:line="360" w:lineRule="auto"/>
        <w:ind w:firstLineChars="200" w:firstLine="640"/>
        <w:rPr>
          <w:rFonts w:ascii="仿宋_GB2312" w:hAnsi="宋体"/>
          <w:b/>
        </w:rPr>
      </w:pPr>
      <w:r w:rsidRPr="0034518E">
        <w:rPr>
          <w:rFonts w:ascii="黑体" w:eastAsia="黑体" w:hAnsi="宋体" w:cs="宋体" w:hint="eastAsia"/>
          <w:bCs/>
          <w:kern w:val="0"/>
        </w:rPr>
        <w:t>第十一条</w:t>
      </w:r>
      <w:r w:rsidRPr="0034518E">
        <w:rPr>
          <w:rFonts w:ascii="仿宋_GB2312" w:hAnsi="宋体" w:hint="eastAsia"/>
        </w:rPr>
        <w:t xml:space="preserve">  对于目前实际生产能力尚达不到75%的验收生产负荷要求，但可以在1年内调整达到条件的，建设单位应当待达到条件后再申请竣工验收。</w:t>
      </w:r>
    </w:p>
    <w:p w:rsidR="0034518E" w:rsidRPr="0034518E" w:rsidRDefault="0034518E" w:rsidP="0034518E">
      <w:pPr>
        <w:spacing w:line="360" w:lineRule="auto"/>
        <w:ind w:firstLineChars="196" w:firstLine="627"/>
        <w:rPr>
          <w:rFonts w:ascii="仿宋_GB2312" w:hAnsi="宋体"/>
        </w:rPr>
      </w:pPr>
      <w:r w:rsidRPr="0034518E">
        <w:rPr>
          <w:rFonts w:ascii="黑体" w:eastAsia="黑体" w:hAnsi="宋体" w:cs="宋体" w:hint="eastAsia"/>
          <w:bCs/>
          <w:kern w:val="0"/>
        </w:rPr>
        <w:t>第十二条</w:t>
      </w:r>
      <w:r w:rsidRPr="0034518E">
        <w:rPr>
          <w:rFonts w:ascii="仿宋_GB2312" w:hAnsi="宋体" w:hint="eastAsia"/>
        </w:rPr>
        <w:t xml:space="preserve">  建设单位申请竣工环境保护验收，需按不同等级和类型提交相应材料：</w:t>
      </w:r>
    </w:p>
    <w:p w:rsidR="0034518E" w:rsidRPr="0034518E" w:rsidRDefault="0034518E" w:rsidP="0034518E">
      <w:pPr>
        <w:spacing w:line="360" w:lineRule="auto"/>
        <w:ind w:firstLineChars="200" w:firstLine="640"/>
        <w:rPr>
          <w:rFonts w:ascii="仿宋_GB2312" w:hAnsi="宋体"/>
        </w:rPr>
      </w:pPr>
      <w:r w:rsidRPr="0034518E">
        <w:rPr>
          <w:rFonts w:ascii="仿宋_GB2312" w:hAnsi="宋体" w:hint="eastAsia"/>
        </w:rPr>
        <w:t>（一）Ⅰ</w:t>
      </w:r>
      <w:proofErr w:type="gramStart"/>
      <w:r w:rsidRPr="0034518E">
        <w:rPr>
          <w:rFonts w:ascii="仿宋_GB2312" w:hAnsi="宋体" w:hint="eastAsia"/>
        </w:rPr>
        <w:t>级污染</w:t>
      </w:r>
      <w:proofErr w:type="gramEnd"/>
      <w:r w:rsidRPr="0034518E">
        <w:rPr>
          <w:rFonts w:ascii="仿宋_GB2312" w:hAnsi="宋体" w:hint="eastAsia"/>
        </w:rPr>
        <w:t>类建设项目，应提交建设项目竣工环境保护验收申请，并附编写环境保护验收监测报告；</w:t>
      </w:r>
    </w:p>
    <w:p w:rsidR="0034518E" w:rsidRPr="0034518E" w:rsidRDefault="0034518E" w:rsidP="0034518E">
      <w:pPr>
        <w:spacing w:line="360" w:lineRule="auto"/>
        <w:ind w:firstLineChars="200" w:firstLine="640"/>
        <w:rPr>
          <w:rFonts w:ascii="仿宋_GB2312" w:hAnsi="宋体"/>
        </w:rPr>
      </w:pPr>
      <w:r w:rsidRPr="0034518E">
        <w:rPr>
          <w:rFonts w:ascii="仿宋_GB2312" w:hAnsi="宋体" w:hint="eastAsia"/>
        </w:rPr>
        <w:t>（二）Ⅱ</w:t>
      </w:r>
      <w:proofErr w:type="gramStart"/>
      <w:r w:rsidRPr="0034518E">
        <w:rPr>
          <w:rFonts w:ascii="仿宋_GB2312" w:hAnsi="宋体" w:hint="eastAsia"/>
        </w:rPr>
        <w:t>级污染</w:t>
      </w:r>
      <w:proofErr w:type="gramEnd"/>
      <w:r w:rsidRPr="0034518E">
        <w:rPr>
          <w:rFonts w:ascii="仿宋_GB2312" w:hAnsi="宋体" w:hint="eastAsia"/>
        </w:rPr>
        <w:t>类建设项目，应提交建设项目竣工环境保护验收申请，并附编写环境保护验收监测报告表；</w:t>
      </w:r>
    </w:p>
    <w:p w:rsidR="0034518E" w:rsidRPr="0034518E" w:rsidRDefault="0034518E" w:rsidP="0034518E">
      <w:pPr>
        <w:spacing w:line="360" w:lineRule="auto"/>
        <w:ind w:firstLineChars="200" w:firstLine="640"/>
        <w:rPr>
          <w:rFonts w:ascii="仿宋_GB2312" w:hAnsi="宋体"/>
        </w:rPr>
      </w:pPr>
      <w:r w:rsidRPr="0034518E">
        <w:rPr>
          <w:rFonts w:ascii="仿宋_GB2312" w:hAnsi="宋体" w:hint="eastAsia"/>
        </w:rPr>
        <w:t>（三）Ⅰ级生态类建设项目，应提交建设项目竣工环境保护验收申请，并附编写环境保护验收调查报告；</w:t>
      </w:r>
    </w:p>
    <w:p w:rsidR="0034518E" w:rsidRPr="0034518E" w:rsidRDefault="0034518E" w:rsidP="0034518E">
      <w:pPr>
        <w:spacing w:line="360" w:lineRule="auto"/>
        <w:ind w:firstLineChars="200" w:firstLine="640"/>
        <w:rPr>
          <w:rFonts w:ascii="仿宋_GB2312" w:hAnsi="宋体"/>
          <w:b/>
        </w:rPr>
      </w:pPr>
      <w:r w:rsidRPr="0034518E">
        <w:rPr>
          <w:rFonts w:ascii="仿宋_GB2312" w:hAnsi="宋体" w:hint="eastAsia"/>
        </w:rPr>
        <w:t>（四）Ⅱ级生态类建设项目，应提交建设项目竣工环境保护验收申请，并附编写环境保护验收调查报告表。</w:t>
      </w:r>
    </w:p>
    <w:p w:rsidR="0034518E" w:rsidRPr="0034518E" w:rsidRDefault="0034518E" w:rsidP="0034518E">
      <w:pPr>
        <w:spacing w:line="360" w:lineRule="auto"/>
        <w:ind w:firstLineChars="200" w:firstLine="640"/>
        <w:rPr>
          <w:rFonts w:ascii="仿宋_GB2312" w:hAnsi="宋体"/>
          <w:b/>
        </w:rPr>
      </w:pPr>
      <w:r w:rsidRPr="0034518E">
        <w:rPr>
          <w:rFonts w:ascii="黑体" w:eastAsia="黑体" w:hAnsi="宋体" w:cs="宋体" w:hint="eastAsia"/>
          <w:bCs/>
          <w:kern w:val="0"/>
        </w:rPr>
        <w:t>第十三条</w:t>
      </w:r>
      <w:r w:rsidRPr="0034518E">
        <w:rPr>
          <w:rFonts w:ascii="仿宋_GB2312" w:hAnsi="宋体" w:hint="eastAsia"/>
        </w:rPr>
        <w:t xml:space="preserve">  环境保护验收监测报告（表），由建设单位委托经环保部门批准有相应资质的环境监测站或者环境放射性监测站编制。</w:t>
      </w:r>
    </w:p>
    <w:p w:rsidR="0034518E" w:rsidRPr="0034518E" w:rsidRDefault="0034518E" w:rsidP="0034518E">
      <w:pPr>
        <w:spacing w:line="360" w:lineRule="auto"/>
        <w:ind w:firstLineChars="200" w:firstLine="640"/>
        <w:rPr>
          <w:rFonts w:ascii="仿宋_GB2312" w:hAnsi="宋体"/>
        </w:rPr>
      </w:pPr>
      <w:r w:rsidRPr="0034518E">
        <w:rPr>
          <w:rFonts w:ascii="黑体" w:eastAsia="黑体" w:hAnsi="宋体" w:cs="宋体" w:hint="eastAsia"/>
          <w:bCs/>
          <w:kern w:val="0"/>
        </w:rPr>
        <w:t>第十四条</w:t>
      </w:r>
      <w:r w:rsidRPr="0034518E">
        <w:rPr>
          <w:rFonts w:ascii="仿宋_GB2312" w:hAnsi="宋体" w:hint="eastAsia"/>
        </w:rPr>
        <w:t xml:space="preserve">  环境保护验收调查报告（表），由建设单位委托经环保部门批准有相应资质的环境监测站或者环境放射性监测站，或者具有相应资质的环境影响评价单位编制。</w:t>
      </w:r>
    </w:p>
    <w:p w:rsidR="0034518E" w:rsidRPr="0034518E" w:rsidRDefault="0034518E" w:rsidP="0034518E">
      <w:pPr>
        <w:spacing w:line="360" w:lineRule="auto"/>
        <w:ind w:firstLineChars="200" w:firstLine="640"/>
        <w:rPr>
          <w:rFonts w:ascii="仿宋_GB2312" w:hAnsi="宋体"/>
          <w:b/>
        </w:rPr>
      </w:pPr>
      <w:r w:rsidRPr="0034518E">
        <w:rPr>
          <w:rFonts w:ascii="仿宋_GB2312" w:hAnsi="宋体" w:hint="eastAsia"/>
        </w:rPr>
        <w:lastRenderedPageBreak/>
        <w:t>承担该建设项目环境影响评价工作的单位不得同时承担该建设项目环境环保验收调查报告（表）的编制工作。</w:t>
      </w:r>
    </w:p>
    <w:p w:rsidR="0034518E" w:rsidRPr="0034518E" w:rsidRDefault="0034518E" w:rsidP="0034518E">
      <w:pPr>
        <w:spacing w:line="360" w:lineRule="auto"/>
        <w:ind w:firstLineChars="200" w:firstLine="640"/>
        <w:rPr>
          <w:rFonts w:ascii="仿宋_GB2312" w:hAnsi="宋体"/>
          <w:b/>
        </w:rPr>
      </w:pPr>
      <w:r w:rsidRPr="0034518E">
        <w:rPr>
          <w:rFonts w:ascii="黑体" w:eastAsia="黑体" w:hAnsi="宋体" w:cs="宋体" w:hint="eastAsia"/>
          <w:bCs/>
          <w:kern w:val="0"/>
        </w:rPr>
        <w:t>第十五条</w:t>
      </w:r>
      <w:r w:rsidRPr="0034518E">
        <w:rPr>
          <w:rFonts w:ascii="仿宋_GB2312" w:hAnsi="宋体" w:hint="eastAsia"/>
        </w:rPr>
        <w:t xml:space="preserve">  编制环境保护验收调查报告（表）或者环境保护验收监测报告（表）所需的环境保护设施竣工验收监测，由负责验收的环保部门所属的市、区环境监测站负责组织实施。</w:t>
      </w:r>
    </w:p>
    <w:p w:rsidR="0034518E" w:rsidRPr="0034518E" w:rsidRDefault="0034518E" w:rsidP="0034518E">
      <w:pPr>
        <w:spacing w:line="360" w:lineRule="auto"/>
        <w:ind w:firstLineChars="200" w:firstLine="640"/>
        <w:rPr>
          <w:rFonts w:ascii="仿宋_GB2312" w:hAnsi="宋体"/>
        </w:rPr>
      </w:pPr>
      <w:r w:rsidRPr="0034518E">
        <w:rPr>
          <w:rFonts w:ascii="仿宋_GB2312" w:hAnsi="宋体" w:hint="eastAsia"/>
        </w:rPr>
        <w:t>环境监测站应当自收到Ⅰ级（Ⅱ级）建设项目竣工环境保护验收监测申请之日起60天（40天）内，完善监测技术服务合同签订、现场验收监测及监测报告（表）编写工作。</w:t>
      </w:r>
    </w:p>
    <w:p w:rsidR="0034518E" w:rsidRPr="0034518E" w:rsidRDefault="0034518E" w:rsidP="0034518E">
      <w:pPr>
        <w:spacing w:line="360" w:lineRule="auto"/>
        <w:ind w:firstLineChars="196" w:firstLine="627"/>
        <w:rPr>
          <w:rFonts w:ascii="仿宋_GB2312" w:hAnsi="宋体"/>
        </w:rPr>
      </w:pPr>
      <w:r w:rsidRPr="0034518E">
        <w:rPr>
          <w:rFonts w:ascii="黑体" w:eastAsia="黑体" w:hAnsi="宋体" w:cs="宋体" w:hint="eastAsia"/>
          <w:bCs/>
          <w:kern w:val="0"/>
        </w:rPr>
        <w:t>第十六条</w:t>
      </w:r>
      <w:r w:rsidRPr="0034518E">
        <w:rPr>
          <w:rFonts w:ascii="仿宋_GB2312" w:hAnsi="宋体" w:hint="eastAsia"/>
        </w:rPr>
        <w:t xml:space="preserve">  </w:t>
      </w:r>
      <w:r w:rsidRPr="0034518E">
        <w:rPr>
          <w:rFonts w:ascii="仿宋_GB2312" w:hint="eastAsia"/>
        </w:rPr>
        <w:t>建设单位在向环保部门提交建设项目竣工环境保护验收监测（调查）报告（表）前，应按照相关规定，主动公开验收监测（调查）报告（表）全本，并将信息公开凭证一并提交环保部门。</w:t>
      </w:r>
    </w:p>
    <w:p w:rsidR="0034518E" w:rsidRPr="0034518E" w:rsidRDefault="0034518E" w:rsidP="0034518E">
      <w:pPr>
        <w:spacing w:line="360" w:lineRule="auto"/>
        <w:ind w:firstLineChars="196" w:firstLine="627"/>
        <w:rPr>
          <w:rFonts w:ascii="仿宋_GB2312" w:hAnsi="宋体"/>
        </w:rPr>
      </w:pPr>
    </w:p>
    <w:p w:rsidR="0034518E" w:rsidRPr="0034518E" w:rsidRDefault="0034518E" w:rsidP="0034518E">
      <w:pPr>
        <w:spacing w:line="360" w:lineRule="auto"/>
        <w:jc w:val="center"/>
        <w:rPr>
          <w:rFonts w:ascii="黑体" w:eastAsia="黑体" w:hAnsi="宋体"/>
        </w:rPr>
      </w:pPr>
      <w:bookmarkStart w:id="2" w:name="_Toc370412460"/>
      <w:r w:rsidRPr="0034518E">
        <w:rPr>
          <w:rFonts w:ascii="黑体" w:eastAsia="黑体" w:hAnsi="宋体" w:hint="eastAsia"/>
        </w:rPr>
        <w:t>第四章 竣工环境保护验收</w:t>
      </w:r>
      <w:bookmarkEnd w:id="2"/>
      <w:r w:rsidRPr="0034518E">
        <w:rPr>
          <w:rFonts w:ascii="黑体" w:eastAsia="黑体" w:hAnsi="宋体" w:hint="eastAsia"/>
        </w:rPr>
        <w:t>程序和要求</w:t>
      </w:r>
    </w:p>
    <w:p w:rsidR="0034518E" w:rsidRPr="0034518E" w:rsidRDefault="0034518E" w:rsidP="0034518E">
      <w:pPr>
        <w:spacing w:line="360" w:lineRule="auto"/>
        <w:ind w:firstLineChars="196" w:firstLine="627"/>
        <w:rPr>
          <w:rFonts w:ascii="仿宋_GB2312" w:hAnsi="宋体"/>
          <w:b/>
        </w:rPr>
      </w:pPr>
      <w:r w:rsidRPr="0034518E">
        <w:rPr>
          <w:rFonts w:ascii="黑体" w:eastAsia="黑体" w:hAnsi="宋体" w:cs="宋体" w:hint="eastAsia"/>
          <w:bCs/>
          <w:kern w:val="0"/>
        </w:rPr>
        <w:t>第十七条</w:t>
      </w:r>
      <w:r w:rsidRPr="0034518E">
        <w:rPr>
          <w:rFonts w:ascii="仿宋_GB2312" w:hAnsi="宋体" w:hint="eastAsia"/>
        </w:rPr>
        <w:t xml:space="preserve">  环保部门应自收到建设项目竣工环境保护验收申请之日起30个工作日内（不包含向公众公开信息、现场检查和整改的时间），完成竣工验收。</w:t>
      </w:r>
    </w:p>
    <w:p w:rsidR="0034518E" w:rsidRPr="0034518E" w:rsidRDefault="0034518E" w:rsidP="0034518E">
      <w:pPr>
        <w:spacing w:line="360" w:lineRule="auto"/>
        <w:ind w:firstLineChars="196" w:firstLine="627"/>
        <w:rPr>
          <w:rFonts w:ascii="仿宋_GB2312" w:hAnsi="宋体"/>
          <w:b/>
        </w:rPr>
      </w:pPr>
      <w:r w:rsidRPr="0034518E">
        <w:rPr>
          <w:rFonts w:ascii="黑体" w:eastAsia="黑体" w:hAnsi="宋体" w:cs="宋体" w:hint="eastAsia"/>
          <w:bCs/>
          <w:kern w:val="0"/>
        </w:rPr>
        <w:t>第十八条</w:t>
      </w:r>
      <w:r w:rsidRPr="0034518E">
        <w:rPr>
          <w:rFonts w:ascii="仿宋_GB2312" w:hAnsi="宋体" w:hint="eastAsia"/>
        </w:rPr>
        <w:t xml:space="preserve">  收到建设项目竣工环境保护验收申请后，环保部门应向社会公开受理情况（涉密内容除外），并对申请材料进行审核；材料缺失或者未达到验收要求的，出具补充材料通知，一次性告知申请单位补充完善或者</w:t>
      </w:r>
      <w:proofErr w:type="gramStart"/>
      <w:r w:rsidRPr="0034518E">
        <w:rPr>
          <w:rFonts w:ascii="仿宋_GB2312" w:hAnsi="宋体" w:hint="eastAsia"/>
        </w:rPr>
        <w:t>作出</w:t>
      </w:r>
      <w:proofErr w:type="gramEnd"/>
      <w:r w:rsidRPr="0034518E">
        <w:rPr>
          <w:rFonts w:ascii="仿宋_GB2312" w:hAnsi="宋体" w:hint="eastAsia"/>
        </w:rPr>
        <w:t>退档处理。</w:t>
      </w:r>
      <w:bookmarkStart w:id="3" w:name="_Toc6598"/>
    </w:p>
    <w:p w:rsidR="0034518E" w:rsidRPr="0034518E" w:rsidRDefault="0034518E" w:rsidP="0034518E">
      <w:pPr>
        <w:spacing w:line="360" w:lineRule="auto"/>
        <w:ind w:firstLineChars="196" w:firstLine="627"/>
        <w:rPr>
          <w:rFonts w:ascii="仿宋_GB2312" w:hAnsi="宋体"/>
          <w:b/>
        </w:rPr>
      </w:pPr>
      <w:r w:rsidRPr="0034518E">
        <w:rPr>
          <w:rFonts w:ascii="黑体" w:eastAsia="黑体" w:hAnsi="宋体" w:cs="宋体" w:hint="eastAsia"/>
          <w:bCs/>
          <w:kern w:val="0"/>
        </w:rPr>
        <w:t>第十九条</w:t>
      </w:r>
      <w:r w:rsidRPr="0034518E">
        <w:rPr>
          <w:rFonts w:ascii="仿宋_GB2312" w:hAnsi="宋体" w:hint="eastAsia"/>
        </w:rPr>
        <w:t xml:space="preserve">  申请材料审核通过的建设项目，环保部门组织现</w:t>
      </w:r>
      <w:r w:rsidRPr="0034518E">
        <w:rPr>
          <w:rFonts w:ascii="仿宋_GB2312" w:hAnsi="宋体" w:hint="eastAsia"/>
        </w:rPr>
        <w:lastRenderedPageBreak/>
        <w:t>场验收检查，</w:t>
      </w:r>
      <w:bookmarkEnd w:id="3"/>
      <w:r w:rsidRPr="0034518E">
        <w:rPr>
          <w:rFonts w:ascii="仿宋_GB2312" w:hAnsi="宋体" w:hint="eastAsia"/>
        </w:rPr>
        <w:t>并形成现场验收检查意见。</w:t>
      </w:r>
    </w:p>
    <w:p w:rsidR="0034518E" w:rsidRPr="0034518E" w:rsidRDefault="0034518E" w:rsidP="0034518E">
      <w:pPr>
        <w:spacing w:line="360" w:lineRule="auto"/>
        <w:ind w:firstLineChars="200" w:firstLine="640"/>
        <w:rPr>
          <w:rFonts w:ascii="仿宋_GB2312" w:hAnsi="宋体"/>
        </w:rPr>
      </w:pPr>
      <w:r w:rsidRPr="0034518E">
        <w:rPr>
          <w:rFonts w:ascii="黑体" w:eastAsia="黑体" w:hAnsi="宋体" w:cs="宋体" w:hint="eastAsia"/>
          <w:bCs/>
          <w:kern w:val="0"/>
        </w:rPr>
        <w:t>第二十条</w:t>
      </w:r>
      <w:r w:rsidRPr="0034518E">
        <w:rPr>
          <w:rFonts w:ascii="仿宋_GB2312" w:hAnsi="宋体" w:hint="eastAsia"/>
        </w:rPr>
        <w:t xml:space="preserve">  现场验收检查实行联合验收制度。建设项目由环保验收管理部门牵头成立竣工环境保护验收小组，负责现场检查和验收。</w:t>
      </w:r>
    </w:p>
    <w:p w:rsidR="0034518E" w:rsidRPr="0034518E" w:rsidRDefault="0034518E" w:rsidP="0034518E">
      <w:pPr>
        <w:spacing w:line="360" w:lineRule="auto"/>
        <w:ind w:firstLineChars="200" w:firstLine="640"/>
        <w:rPr>
          <w:rFonts w:ascii="仿宋_GB2312" w:hAnsi="宋体"/>
        </w:rPr>
      </w:pPr>
      <w:r w:rsidRPr="0034518E">
        <w:rPr>
          <w:rFonts w:ascii="仿宋_GB2312" w:hAnsi="宋体" w:hint="eastAsia"/>
        </w:rPr>
        <w:t>项目建设单位、环保措施设计单位、竣工环境保护验收监测（调查）报告（表）的编制单位以及环境监理报告编制单位共同参与验收工作，并负责现场回答验收小组提出的问题。</w:t>
      </w:r>
    </w:p>
    <w:p w:rsidR="0034518E" w:rsidRPr="0034518E" w:rsidRDefault="0034518E" w:rsidP="0034518E">
      <w:pPr>
        <w:spacing w:line="360" w:lineRule="auto"/>
        <w:ind w:firstLineChars="196" w:firstLine="627"/>
        <w:rPr>
          <w:rFonts w:ascii="仿宋_GB2312" w:hAnsi="宋体"/>
        </w:rPr>
      </w:pPr>
      <w:r w:rsidRPr="0034518E">
        <w:rPr>
          <w:rFonts w:ascii="黑体" w:eastAsia="黑体" w:hAnsi="宋体" w:cs="宋体" w:hint="eastAsia"/>
          <w:bCs/>
          <w:kern w:val="0"/>
        </w:rPr>
        <w:t>第二十一条</w:t>
      </w:r>
      <w:r w:rsidRPr="0034518E">
        <w:rPr>
          <w:rFonts w:ascii="仿宋_GB2312" w:hAnsi="宋体" w:hint="eastAsia"/>
        </w:rPr>
        <w:t xml:space="preserve">  建设项目竣工环境保护验收条件为：</w:t>
      </w:r>
    </w:p>
    <w:p w:rsidR="0034518E" w:rsidRPr="0034518E" w:rsidRDefault="0034518E" w:rsidP="0034518E">
      <w:pPr>
        <w:spacing w:line="360" w:lineRule="auto"/>
        <w:ind w:firstLineChars="196" w:firstLine="627"/>
        <w:rPr>
          <w:rFonts w:ascii="仿宋_GB2312" w:hAnsi="宋体"/>
        </w:rPr>
      </w:pPr>
      <w:r w:rsidRPr="0034518E">
        <w:rPr>
          <w:rFonts w:ascii="仿宋_GB2312" w:hAnsi="宋体" w:hint="eastAsia"/>
        </w:rPr>
        <w:t>（一）建设项目的性质、规模、地点、采用的生产工艺或者防治污染、防止生态破坏的措施与环境影响评价文件及其批复相比未发生重大变动，且项目开工建设时间距离环境影响评价文件批复时间未超过5年；</w:t>
      </w:r>
    </w:p>
    <w:p w:rsidR="0034518E" w:rsidRPr="0034518E" w:rsidRDefault="0034518E" w:rsidP="0034518E">
      <w:pPr>
        <w:spacing w:line="360" w:lineRule="auto"/>
        <w:ind w:firstLineChars="200" w:firstLine="640"/>
        <w:rPr>
          <w:rFonts w:ascii="仿宋_GB2312" w:hAnsi="宋体"/>
        </w:rPr>
      </w:pPr>
      <w:r w:rsidRPr="0034518E">
        <w:rPr>
          <w:rFonts w:ascii="仿宋_GB2312" w:hAnsi="宋体" w:hint="eastAsia"/>
        </w:rPr>
        <w:t>（二）污染类建设项目需运行工况稳定、生产负荷达到75%以上、验收监测结果的达标率达到80%以上；</w:t>
      </w:r>
    </w:p>
    <w:p w:rsidR="0034518E" w:rsidRPr="0034518E" w:rsidRDefault="0034518E" w:rsidP="0034518E">
      <w:pPr>
        <w:spacing w:line="360" w:lineRule="auto"/>
        <w:ind w:firstLineChars="200" w:firstLine="640"/>
        <w:rPr>
          <w:rFonts w:ascii="仿宋_GB2312" w:hAnsi="宋体"/>
        </w:rPr>
      </w:pPr>
      <w:r w:rsidRPr="0034518E">
        <w:rPr>
          <w:rFonts w:ascii="仿宋_GB2312" w:hAnsi="宋体" w:hint="eastAsia"/>
        </w:rPr>
        <w:t>（三）对于公路、铁路、轨道交通等线性工程以及港口等生态类建设项目，需运行工况稳定、生产负荷达到近期预测生产能力（或者交通量）75%以上的情况下进行；如果短期内生产能力（或者交通量）确实无法达到设计能力75%以上的，验收调查应在主体工程运行稳定、环境保护设施运行正常的条件下，并注明实际调查工况、按环境影响评价文件近期的设计能力（或者交通量）对主要环境要素进行影响分析；</w:t>
      </w:r>
    </w:p>
    <w:p w:rsidR="0034518E" w:rsidRPr="0034518E" w:rsidRDefault="0034518E" w:rsidP="0034518E">
      <w:pPr>
        <w:spacing w:line="360" w:lineRule="auto"/>
        <w:ind w:firstLineChars="200" w:firstLine="640"/>
        <w:rPr>
          <w:rFonts w:ascii="仿宋_GB2312" w:hAnsi="宋体"/>
        </w:rPr>
      </w:pPr>
      <w:r w:rsidRPr="0034518E">
        <w:rPr>
          <w:rFonts w:ascii="仿宋_GB2312" w:hAnsi="宋体" w:hint="eastAsia"/>
        </w:rPr>
        <w:t>（四）环境保护设施按照环境影响评价文件及其批复要求建</w:t>
      </w:r>
      <w:r w:rsidRPr="0034518E">
        <w:rPr>
          <w:rFonts w:ascii="仿宋_GB2312" w:hAnsi="宋体" w:hint="eastAsia"/>
        </w:rPr>
        <w:lastRenderedPageBreak/>
        <w:t>设，且具备正常运转的条件；</w:t>
      </w:r>
    </w:p>
    <w:p w:rsidR="0034518E" w:rsidRPr="0034518E" w:rsidRDefault="0034518E" w:rsidP="0034518E">
      <w:pPr>
        <w:spacing w:line="360" w:lineRule="auto"/>
        <w:ind w:firstLineChars="200" w:firstLine="640"/>
        <w:rPr>
          <w:rFonts w:ascii="仿宋_GB2312" w:hAnsi="宋体"/>
          <w:b/>
        </w:rPr>
      </w:pPr>
      <w:r w:rsidRPr="0034518E">
        <w:rPr>
          <w:rFonts w:ascii="仿宋_GB2312" w:hAnsi="宋体" w:hint="eastAsia"/>
        </w:rPr>
        <w:t>（五）其他法律、法规、规章和规范性文件规定的条件。</w:t>
      </w:r>
    </w:p>
    <w:p w:rsidR="0034518E" w:rsidRPr="0034518E" w:rsidRDefault="0034518E" w:rsidP="0034518E">
      <w:pPr>
        <w:spacing w:line="360" w:lineRule="auto"/>
        <w:ind w:firstLineChars="250" w:firstLine="800"/>
        <w:rPr>
          <w:rFonts w:ascii="仿宋_GB2312" w:hAnsi="宋体"/>
          <w:b/>
        </w:rPr>
      </w:pPr>
      <w:r w:rsidRPr="0034518E">
        <w:rPr>
          <w:rFonts w:ascii="黑体" w:eastAsia="黑体" w:hAnsi="宋体" w:cs="宋体" w:hint="eastAsia"/>
          <w:bCs/>
          <w:kern w:val="0"/>
        </w:rPr>
        <w:t>第二十二条</w:t>
      </w:r>
      <w:r w:rsidRPr="0034518E">
        <w:rPr>
          <w:rFonts w:ascii="仿宋_GB2312" w:hAnsi="宋体" w:hint="eastAsia"/>
        </w:rPr>
        <w:t xml:space="preserve">  根据本办法第二十一条规定的验收条件，结合建设项目竣工环境保护验收申请材料审核及现场验收检查结果，环保部门应做出拟同意或者不同意的验收意见，并在环保部门网站上向社会公告。</w:t>
      </w:r>
    </w:p>
    <w:p w:rsidR="0034518E" w:rsidRPr="0034518E" w:rsidRDefault="0034518E" w:rsidP="0034518E">
      <w:pPr>
        <w:spacing w:line="360" w:lineRule="auto"/>
        <w:ind w:firstLineChars="250" w:firstLine="800"/>
        <w:rPr>
          <w:rFonts w:ascii="仿宋_GB2312" w:hAnsi="宋体"/>
        </w:rPr>
      </w:pPr>
      <w:r w:rsidRPr="0034518E">
        <w:rPr>
          <w:rFonts w:ascii="黑体" w:eastAsia="黑体" w:hAnsi="宋体" w:cs="宋体" w:hint="eastAsia"/>
          <w:bCs/>
          <w:kern w:val="0"/>
        </w:rPr>
        <w:t>第二十三条</w:t>
      </w:r>
      <w:r w:rsidRPr="0034518E">
        <w:rPr>
          <w:rFonts w:ascii="仿宋_GB2312" w:hAnsi="宋体" w:hint="eastAsia"/>
        </w:rPr>
        <w:t xml:space="preserve">  公告期满后，环保部门应根据公众反馈意见情况，做出建设项目竣工环境保护验收决定，并向社会公开。</w:t>
      </w:r>
    </w:p>
    <w:p w:rsidR="0034518E" w:rsidRPr="0034518E" w:rsidRDefault="0034518E" w:rsidP="0034518E">
      <w:pPr>
        <w:spacing w:line="360" w:lineRule="auto"/>
        <w:jc w:val="center"/>
        <w:rPr>
          <w:rFonts w:ascii="仿宋_GB2312" w:hAnsi="宋体"/>
        </w:rPr>
      </w:pPr>
    </w:p>
    <w:p w:rsidR="0034518E" w:rsidRPr="0034518E" w:rsidRDefault="0034518E" w:rsidP="0034518E">
      <w:pPr>
        <w:spacing w:line="360" w:lineRule="auto"/>
        <w:jc w:val="center"/>
        <w:rPr>
          <w:rFonts w:ascii="黑体" w:eastAsia="黑体" w:hAnsi="宋体"/>
          <w:b/>
        </w:rPr>
      </w:pPr>
      <w:r w:rsidRPr="0034518E">
        <w:rPr>
          <w:rFonts w:ascii="黑体" w:eastAsia="黑体" w:hAnsi="宋体" w:hint="eastAsia"/>
        </w:rPr>
        <w:t>第五章 附 则</w:t>
      </w:r>
    </w:p>
    <w:p w:rsidR="0034518E" w:rsidRPr="0034518E" w:rsidRDefault="0034518E" w:rsidP="0034518E">
      <w:pPr>
        <w:spacing w:line="360" w:lineRule="auto"/>
        <w:ind w:firstLineChars="200" w:firstLine="640"/>
        <w:rPr>
          <w:rFonts w:ascii="仿宋_GB2312" w:hAnsi="宋体"/>
          <w:b/>
        </w:rPr>
      </w:pPr>
      <w:r w:rsidRPr="0034518E">
        <w:rPr>
          <w:rFonts w:ascii="黑体" w:eastAsia="黑体" w:hAnsi="宋体" w:cs="宋体" w:hint="eastAsia"/>
          <w:bCs/>
          <w:kern w:val="0"/>
        </w:rPr>
        <w:t>第二十四条</w:t>
      </w:r>
      <w:r w:rsidRPr="0034518E">
        <w:rPr>
          <w:rFonts w:ascii="仿宋_GB2312" w:hAnsi="宋体" w:hint="eastAsia"/>
        </w:rPr>
        <w:t xml:space="preserve">  分期建设、分期投入生产或者使用的建设项目，按照本办法规定的程序分期进行环境保护验收。</w:t>
      </w:r>
    </w:p>
    <w:p w:rsidR="0034518E" w:rsidRPr="0034518E" w:rsidRDefault="0034518E" w:rsidP="0034518E">
      <w:pPr>
        <w:spacing w:line="360" w:lineRule="auto"/>
        <w:ind w:firstLineChars="200" w:firstLine="640"/>
        <w:rPr>
          <w:rFonts w:ascii="仿宋_GB2312" w:hAnsi="宋体"/>
        </w:rPr>
      </w:pPr>
      <w:r w:rsidRPr="0034518E">
        <w:rPr>
          <w:rFonts w:ascii="黑体" w:eastAsia="黑体" w:hAnsi="宋体" w:cs="宋体" w:hint="eastAsia"/>
          <w:bCs/>
          <w:kern w:val="0"/>
        </w:rPr>
        <w:t>第二十五条</w:t>
      </w:r>
      <w:r w:rsidRPr="0034518E">
        <w:rPr>
          <w:rFonts w:ascii="仿宋_GB2312" w:hAnsi="宋体" w:hint="eastAsia"/>
        </w:rPr>
        <w:t xml:space="preserve">  本办法自2015年1月1日起施行，有效期5年。</w:t>
      </w:r>
    </w:p>
    <w:p w:rsidR="0034518E" w:rsidRPr="0034518E" w:rsidRDefault="0034518E" w:rsidP="0034518E">
      <w:pPr>
        <w:snapToGrid w:val="0"/>
        <w:spacing w:line="420" w:lineRule="exact"/>
        <w:ind w:firstLine="646"/>
        <w:rPr>
          <w:rFonts w:eastAsia="宋体"/>
          <w:sz w:val="21"/>
          <w:szCs w:val="20"/>
        </w:rPr>
      </w:pPr>
    </w:p>
    <w:p w:rsidR="0034518E" w:rsidRPr="0034518E" w:rsidRDefault="0034518E" w:rsidP="0034518E">
      <w:pPr>
        <w:rPr>
          <w:rFonts w:eastAsia="宋体"/>
          <w:sz w:val="21"/>
          <w:szCs w:val="20"/>
        </w:rPr>
      </w:pPr>
    </w:p>
    <w:p w:rsidR="0034518E" w:rsidRPr="0034518E" w:rsidRDefault="0034518E" w:rsidP="0034518E"/>
    <w:p w:rsidR="0034518E" w:rsidRDefault="0034518E" w:rsidP="0034518E">
      <w:pPr>
        <w:ind w:firstLine="645"/>
      </w:pPr>
      <w:bookmarkStart w:id="4" w:name="_GoBack"/>
      <w:bookmarkEnd w:id="4"/>
    </w:p>
    <w:p w:rsidR="0034518E" w:rsidRDefault="0034518E" w:rsidP="0034518E">
      <w:pPr>
        <w:ind w:firstLine="645"/>
      </w:pPr>
    </w:p>
    <w:p w:rsidR="0034518E" w:rsidRDefault="0034518E" w:rsidP="0034518E">
      <w:pPr>
        <w:ind w:firstLine="645"/>
      </w:pPr>
    </w:p>
    <w:p w:rsidR="0034518E" w:rsidRDefault="0034518E" w:rsidP="0034518E">
      <w:pPr>
        <w:ind w:firstLine="645"/>
      </w:pPr>
    </w:p>
    <w:p w:rsidR="0034518E" w:rsidRDefault="0034518E" w:rsidP="0034518E">
      <w:pPr>
        <w:ind w:firstLine="645"/>
      </w:pPr>
    </w:p>
    <w:p w:rsidR="0034518E" w:rsidRDefault="0034518E" w:rsidP="0034518E">
      <w:pPr>
        <w:ind w:firstLine="645"/>
      </w:pPr>
    </w:p>
    <w:p w:rsidR="00345FBC" w:rsidRPr="00605E63" w:rsidRDefault="00345FBC" w:rsidP="0034518E">
      <w:pPr>
        <w:ind w:firstLine="645"/>
      </w:pPr>
    </w:p>
    <w:sectPr w:rsidR="00345FBC" w:rsidRPr="00605E63" w:rsidSect="00080781">
      <w:headerReference w:type="default" r:id="rId8"/>
      <w:footerReference w:type="default" r:id="rId9"/>
      <w:pgSz w:w="11906" w:h="16838"/>
      <w:pgMar w:top="1440" w:right="1440"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792" w:rsidRDefault="006D0792">
      <w:r>
        <w:separator/>
      </w:r>
    </w:p>
  </w:endnote>
  <w:endnote w:type="continuationSeparator" w:id="0">
    <w:p w:rsidR="006D0792" w:rsidRDefault="006D0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1556689"/>
      <w:docPartObj>
        <w:docPartGallery w:val="Page Numbers (Bottom of Page)"/>
        <w:docPartUnique/>
      </w:docPartObj>
    </w:sdtPr>
    <w:sdtContent>
      <w:p w:rsidR="005D1CA1" w:rsidRDefault="005D1CA1">
        <w:pPr>
          <w:pStyle w:val="a4"/>
          <w:jc w:val="center"/>
        </w:pPr>
        <w:r>
          <w:fldChar w:fldCharType="begin"/>
        </w:r>
        <w:r>
          <w:instrText>PAGE   \* MERGEFORMAT</w:instrText>
        </w:r>
        <w:r>
          <w:fldChar w:fldCharType="separate"/>
        </w:r>
        <w:r w:rsidRPr="005D1CA1">
          <w:rPr>
            <w:noProof/>
            <w:lang w:val="zh-CN"/>
          </w:rPr>
          <w:t>7</w:t>
        </w:r>
        <w:r>
          <w:fldChar w:fldCharType="end"/>
        </w:r>
      </w:p>
    </w:sdtContent>
  </w:sdt>
  <w:p w:rsidR="005D1CA1" w:rsidRDefault="005D1CA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792" w:rsidRDefault="006D0792">
      <w:r>
        <w:separator/>
      </w:r>
    </w:p>
  </w:footnote>
  <w:footnote w:type="continuationSeparator" w:id="0">
    <w:p w:rsidR="006D0792" w:rsidRDefault="006D07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027" w:rsidRDefault="00CC3027">
    <w:pPr>
      <w:pStyle w:val="a5"/>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15C33"/>
    <w:multiLevelType w:val="multilevel"/>
    <w:tmpl w:val="07515C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134295E"/>
    <w:multiLevelType w:val="multilevel"/>
    <w:tmpl w:val="1134295E"/>
    <w:lvl w:ilvl="0">
      <w:start w:val="1"/>
      <w:numFmt w:val="decimal"/>
      <w:lvlText w:val="（%1）"/>
      <w:lvlJc w:val="left"/>
      <w:pPr>
        <w:ind w:left="1758" w:hanging="1080"/>
      </w:pPr>
      <w:rPr>
        <w:rFonts w:hint="default"/>
      </w:rPr>
    </w:lvl>
    <w:lvl w:ilvl="1">
      <w:start w:val="1"/>
      <w:numFmt w:val="lowerLetter"/>
      <w:lvlText w:val="%2)"/>
      <w:lvlJc w:val="left"/>
      <w:pPr>
        <w:ind w:left="1518" w:hanging="420"/>
      </w:pPr>
    </w:lvl>
    <w:lvl w:ilvl="2">
      <w:start w:val="1"/>
      <w:numFmt w:val="lowerRoman"/>
      <w:lvlText w:val="%3."/>
      <w:lvlJc w:val="right"/>
      <w:pPr>
        <w:ind w:left="1938" w:hanging="420"/>
      </w:pPr>
    </w:lvl>
    <w:lvl w:ilvl="3">
      <w:start w:val="1"/>
      <w:numFmt w:val="decimal"/>
      <w:lvlText w:val="%4."/>
      <w:lvlJc w:val="left"/>
      <w:pPr>
        <w:ind w:left="2358" w:hanging="420"/>
      </w:pPr>
    </w:lvl>
    <w:lvl w:ilvl="4">
      <w:start w:val="1"/>
      <w:numFmt w:val="lowerLetter"/>
      <w:lvlText w:val="%5)"/>
      <w:lvlJc w:val="left"/>
      <w:pPr>
        <w:ind w:left="2778" w:hanging="420"/>
      </w:pPr>
    </w:lvl>
    <w:lvl w:ilvl="5">
      <w:start w:val="1"/>
      <w:numFmt w:val="lowerRoman"/>
      <w:lvlText w:val="%6."/>
      <w:lvlJc w:val="right"/>
      <w:pPr>
        <w:ind w:left="3198" w:hanging="420"/>
      </w:pPr>
    </w:lvl>
    <w:lvl w:ilvl="6">
      <w:start w:val="1"/>
      <w:numFmt w:val="decimal"/>
      <w:lvlText w:val="%7."/>
      <w:lvlJc w:val="left"/>
      <w:pPr>
        <w:ind w:left="3618" w:hanging="420"/>
      </w:pPr>
    </w:lvl>
    <w:lvl w:ilvl="7">
      <w:start w:val="1"/>
      <w:numFmt w:val="lowerLetter"/>
      <w:lvlText w:val="%8)"/>
      <w:lvlJc w:val="left"/>
      <w:pPr>
        <w:ind w:left="4038" w:hanging="420"/>
      </w:pPr>
    </w:lvl>
    <w:lvl w:ilvl="8">
      <w:start w:val="1"/>
      <w:numFmt w:val="lowerRoman"/>
      <w:lvlText w:val="%9."/>
      <w:lvlJc w:val="right"/>
      <w:pPr>
        <w:ind w:left="445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B11"/>
    <w:rsid w:val="00080781"/>
    <w:rsid w:val="00084A5C"/>
    <w:rsid w:val="00322107"/>
    <w:rsid w:val="00326417"/>
    <w:rsid w:val="0034518E"/>
    <w:rsid w:val="00345FBC"/>
    <w:rsid w:val="003A6ADC"/>
    <w:rsid w:val="00482C8E"/>
    <w:rsid w:val="004C30A8"/>
    <w:rsid w:val="004C47FB"/>
    <w:rsid w:val="004E7CCD"/>
    <w:rsid w:val="00533937"/>
    <w:rsid w:val="005639E4"/>
    <w:rsid w:val="005D1CA1"/>
    <w:rsid w:val="00605E63"/>
    <w:rsid w:val="00640C93"/>
    <w:rsid w:val="00666B70"/>
    <w:rsid w:val="006C6DD3"/>
    <w:rsid w:val="006D0792"/>
    <w:rsid w:val="006E0A85"/>
    <w:rsid w:val="00706E4E"/>
    <w:rsid w:val="008F394E"/>
    <w:rsid w:val="009C04FE"/>
    <w:rsid w:val="00B1231B"/>
    <w:rsid w:val="00BE77FC"/>
    <w:rsid w:val="00C400B5"/>
    <w:rsid w:val="00C6100F"/>
    <w:rsid w:val="00C941E5"/>
    <w:rsid w:val="00CC3027"/>
    <w:rsid w:val="00D05D2A"/>
    <w:rsid w:val="00DC25E5"/>
    <w:rsid w:val="00F47DD7"/>
    <w:rsid w:val="00FF5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B11"/>
    <w:pPr>
      <w:widowControl w:val="0"/>
      <w:jc w:val="both"/>
    </w:pPr>
    <w:rPr>
      <w:rFonts w:ascii="Times New Roman" w:eastAsia="仿宋_GB2312" w:hAnsi="Times New Roman" w:cs="Times New Roman"/>
      <w:sz w:val="32"/>
      <w:szCs w:val="32"/>
    </w:rPr>
  </w:style>
  <w:style w:type="paragraph" w:styleId="2">
    <w:name w:val="heading 2"/>
    <w:basedOn w:val="a"/>
    <w:next w:val="a"/>
    <w:link w:val="2Char"/>
    <w:uiPriority w:val="9"/>
    <w:qFormat/>
    <w:rsid w:val="00605E63"/>
    <w:pPr>
      <w:keepNext/>
      <w:keepLines/>
      <w:spacing w:before="260" w:after="260" w:line="416" w:lineRule="auto"/>
      <w:outlineLvl w:val="1"/>
    </w:pPr>
    <w:rPr>
      <w:rFonts w:ascii="Arial" w:eastAsia="黑体" w:hAnsi="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FF5B11"/>
  </w:style>
  <w:style w:type="paragraph" w:styleId="a4">
    <w:name w:val="footer"/>
    <w:basedOn w:val="a"/>
    <w:link w:val="Char"/>
    <w:uiPriority w:val="99"/>
    <w:rsid w:val="00FF5B11"/>
    <w:pPr>
      <w:tabs>
        <w:tab w:val="center" w:pos="4153"/>
        <w:tab w:val="right" w:pos="8306"/>
      </w:tabs>
      <w:snapToGrid w:val="0"/>
      <w:jc w:val="left"/>
    </w:pPr>
    <w:rPr>
      <w:sz w:val="18"/>
      <w:szCs w:val="18"/>
    </w:rPr>
  </w:style>
  <w:style w:type="character" w:customStyle="1" w:styleId="Char">
    <w:name w:val="页脚 Char"/>
    <w:basedOn w:val="a0"/>
    <w:link w:val="a4"/>
    <w:uiPriority w:val="99"/>
    <w:rsid w:val="00FF5B11"/>
    <w:rPr>
      <w:rFonts w:ascii="Times New Roman" w:eastAsia="仿宋_GB2312" w:hAnsi="Times New Roman" w:cs="Times New Roman"/>
      <w:sz w:val="18"/>
      <w:szCs w:val="18"/>
    </w:rPr>
  </w:style>
  <w:style w:type="paragraph" w:styleId="a5">
    <w:name w:val="header"/>
    <w:basedOn w:val="a"/>
    <w:link w:val="Char0"/>
    <w:unhideWhenUsed/>
    <w:rsid w:val="006E0A85"/>
    <w:pPr>
      <w:pBdr>
        <w:bottom w:val="single" w:sz="6" w:space="1" w:color="auto"/>
      </w:pBdr>
      <w:tabs>
        <w:tab w:val="center" w:pos="4153"/>
        <w:tab w:val="right" w:pos="8306"/>
      </w:tabs>
      <w:snapToGrid w:val="0"/>
      <w:jc w:val="center"/>
    </w:pPr>
    <w:rPr>
      <w:rFonts w:eastAsia="宋体"/>
      <w:sz w:val="18"/>
      <w:szCs w:val="18"/>
    </w:rPr>
  </w:style>
  <w:style w:type="character" w:customStyle="1" w:styleId="Char0">
    <w:name w:val="页眉 Char"/>
    <w:basedOn w:val="a0"/>
    <w:link w:val="a5"/>
    <w:rsid w:val="006E0A85"/>
    <w:rPr>
      <w:rFonts w:ascii="Times New Roman" w:eastAsia="宋体" w:hAnsi="Times New Roman" w:cs="Times New Roman"/>
      <w:sz w:val="18"/>
      <w:szCs w:val="18"/>
    </w:rPr>
  </w:style>
  <w:style w:type="character" w:customStyle="1" w:styleId="2Char">
    <w:name w:val="标题 2 Char"/>
    <w:basedOn w:val="a0"/>
    <w:link w:val="2"/>
    <w:uiPriority w:val="9"/>
    <w:rsid w:val="00605E63"/>
    <w:rPr>
      <w:rFonts w:ascii="Arial" w:eastAsia="黑体" w:hAnsi="Arial" w:cs="Times New Roman"/>
      <w:b/>
      <w:bCs/>
      <w:sz w:val="32"/>
      <w:szCs w:val="32"/>
    </w:rPr>
  </w:style>
  <w:style w:type="numbering" w:customStyle="1" w:styleId="1">
    <w:name w:val="无列表1"/>
    <w:next w:val="a2"/>
    <w:uiPriority w:val="99"/>
    <w:semiHidden/>
    <w:unhideWhenUsed/>
    <w:rsid w:val="00605E63"/>
  </w:style>
  <w:style w:type="paragraph" w:styleId="a6">
    <w:name w:val="Balloon Text"/>
    <w:basedOn w:val="a"/>
    <w:link w:val="Char1"/>
    <w:uiPriority w:val="99"/>
    <w:semiHidden/>
    <w:unhideWhenUsed/>
    <w:rsid w:val="00605E63"/>
    <w:rPr>
      <w:sz w:val="18"/>
      <w:szCs w:val="18"/>
    </w:rPr>
  </w:style>
  <w:style w:type="character" w:customStyle="1" w:styleId="Char1">
    <w:name w:val="批注框文本 Char"/>
    <w:basedOn w:val="a0"/>
    <w:link w:val="a6"/>
    <w:uiPriority w:val="99"/>
    <w:semiHidden/>
    <w:rsid w:val="00605E63"/>
    <w:rPr>
      <w:rFonts w:ascii="Times New Roman" w:eastAsia="仿宋_GB2312" w:hAnsi="Times New Roman" w:cs="Times New Roman"/>
      <w:sz w:val="18"/>
      <w:szCs w:val="18"/>
    </w:rPr>
  </w:style>
  <w:style w:type="character" w:styleId="a7">
    <w:name w:val="Strong"/>
    <w:basedOn w:val="a0"/>
    <w:uiPriority w:val="22"/>
    <w:qFormat/>
    <w:rsid w:val="00C941E5"/>
    <w:rPr>
      <w:b/>
      <w:bCs/>
    </w:rPr>
  </w:style>
  <w:style w:type="paragraph" w:styleId="a8">
    <w:name w:val="Normal (Web)"/>
    <w:basedOn w:val="a"/>
    <w:uiPriority w:val="99"/>
    <w:unhideWhenUsed/>
    <w:rsid w:val="00C941E5"/>
    <w:pPr>
      <w:widowControl/>
      <w:spacing w:before="100" w:beforeAutospacing="1" w:after="100" w:afterAutospacing="1"/>
      <w:jc w:val="left"/>
    </w:pPr>
    <w:rPr>
      <w:rFonts w:ascii="宋体" w:eastAsia="宋体" w:hAnsi="宋体" w:cs="宋体"/>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B11"/>
    <w:pPr>
      <w:widowControl w:val="0"/>
      <w:jc w:val="both"/>
    </w:pPr>
    <w:rPr>
      <w:rFonts w:ascii="Times New Roman" w:eastAsia="仿宋_GB2312" w:hAnsi="Times New Roman" w:cs="Times New Roman"/>
      <w:sz w:val="32"/>
      <w:szCs w:val="32"/>
    </w:rPr>
  </w:style>
  <w:style w:type="paragraph" w:styleId="2">
    <w:name w:val="heading 2"/>
    <w:basedOn w:val="a"/>
    <w:next w:val="a"/>
    <w:link w:val="2Char"/>
    <w:uiPriority w:val="9"/>
    <w:qFormat/>
    <w:rsid w:val="00605E63"/>
    <w:pPr>
      <w:keepNext/>
      <w:keepLines/>
      <w:spacing w:before="260" w:after="260" w:line="416" w:lineRule="auto"/>
      <w:outlineLvl w:val="1"/>
    </w:pPr>
    <w:rPr>
      <w:rFonts w:ascii="Arial" w:eastAsia="黑体" w:hAnsi="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FF5B11"/>
  </w:style>
  <w:style w:type="paragraph" w:styleId="a4">
    <w:name w:val="footer"/>
    <w:basedOn w:val="a"/>
    <w:link w:val="Char"/>
    <w:uiPriority w:val="99"/>
    <w:rsid w:val="00FF5B11"/>
    <w:pPr>
      <w:tabs>
        <w:tab w:val="center" w:pos="4153"/>
        <w:tab w:val="right" w:pos="8306"/>
      </w:tabs>
      <w:snapToGrid w:val="0"/>
      <w:jc w:val="left"/>
    </w:pPr>
    <w:rPr>
      <w:sz w:val="18"/>
      <w:szCs w:val="18"/>
    </w:rPr>
  </w:style>
  <w:style w:type="character" w:customStyle="1" w:styleId="Char">
    <w:name w:val="页脚 Char"/>
    <w:basedOn w:val="a0"/>
    <w:link w:val="a4"/>
    <w:uiPriority w:val="99"/>
    <w:rsid w:val="00FF5B11"/>
    <w:rPr>
      <w:rFonts w:ascii="Times New Roman" w:eastAsia="仿宋_GB2312" w:hAnsi="Times New Roman" w:cs="Times New Roman"/>
      <w:sz w:val="18"/>
      <w:szCs w:val="18"/>
    </w:rPr>
  </w:style>
  <w:style w:type="paragraph" w:styleId="a5">
    <w:name w:val="header"/>
    <w:basedOn w:val="a"/>
    <w:link w:val="Char0"/>
    <w:unhideWhenUsed/>
    <w:rsid w:val="006E0A85"/>
    <w:pPr>
      <w:pBdr>
        <w:bottom w:val="single" w:sz="6" w:space="1" w:color="auto"/>
      </w:pBdr>
      <w:tabs>
        <w:tab w:val="center" w:pos="4153"/>
        <w:tab w:val="right" w:pos="8306"/>
      </w:tabs>
      <w:snapToGrid w:val="0"/>
      <w:jc w:val="center"/>
    </w:pPr>
    <w:rPr>
      <w:rFonts w:eastAsia="宋体"/>
      <w:sz w:val="18"/>
      <w:szCs w:val="18"/>
    </w:rPr>
  </w:style>
  <w:style w:type="character" w:customStyle="1" w:styleId="Char0">
    <w:name w:val="页眉 Char"/>
    <w:basedOn w:val="a0"/>
    <w:link w:val="a5"/>
    <w:rsid w:val="006E0A85"/>
    <w:rPr>
      <w:rFonts w:ascii="Times New Roman" w:eastAsia="宋体" w:hAnsi="Times New Roman" w:cs="Times New Roman"/>
      <w:sz w:val="18"/>
      <w:szCs w:val="18"/>
    </w:rPr>
  </w:style>
  <w:style w:type="character" w:customStyle="1" w:styleId="2Char">
    <w:name w:val="标题 2 Char"/>
    <w:basedOn w:val="a0"/>
    <w:link w:val="2"/>
    <w:uiPriority w:val="9"/>
    <w:rsid w:val="00605E63"/>
    <w:rPr>
      <w:rFonts w:ascii="Arial" w:eastAsia="黑体" w:hAnsi="Arial" w:cs="Times New Roman"/>
      <w:b/>
      <w:bCs/>
      <w:sz w:val="32"/>
      <w:szCs w:val="32"/>
    </w:rPr>
  </w:style>
  <w:style w:type="numbering" w:customStyle="1" w:styleId="1">
    <w:name w:val="无列表1"/>
    <w:next w:val="a2"/>
    <w:uiPriority w:val="99"/>
    <w:semiHidden/>
    <w:unhideWhenUsed/>
    <w:rsid w:val="00605E63"/>
  </w:style>
  <w:style w:type="paragraph" w:styleId="a6">
    <w:name w:val="Balloon Text"/>
    <w:basedOn w:val="a"/>
    <w:link w:val="Char1"/>
    <w:uiPriority w:val="99"/>
    <w:semiHidden/>
    <w:unhideWhenUsed/>
    <w:rsid w:val="00605E63"/>
    <w:rPr>
      <w:sz w:val="18"/>
      <w:szCs w:val="18"/>
    </w:rPr>
  </w:style>
  <w:style w:type="character" w:customStyle="1" w:styleId="Char1">
    <w:name w:val="批注框文本 Char"/>
    <w:basedOn w:val="a0"/>
    <w:link w:val="a6"/>
    <w:uiPriority w:val="99"/>
    <w:semiHidden/>
    <w:rsid w:val="00605E63"/>
    <w:rPr>
      <w:rFonts w:ascii="Times New Roman" w:eastAsia="仿宋_GB2312" w:hAnsi="Times New Roman" w:cs="Times New Roman"/>
      <w:sz w:val="18"/>
      <w:szCs w:val="18"/>
    </w:rPr>
  </w:style>
  <w:style w:type="character" w:styleId="a7">
    <w:name w:val="Strong"/>
    <w:basedOn w:val="a0"/>
    <w:uiPriority w:val="22"/>
    <w:qFormat/>
    <w:rsid w:val="00C941E5"/>
    <w:rPr>
      <w:b/>
      <w:bCs/>
    </w:rPr>
  </w:style>
  <w:style w:type="paragraph" w:styleId="a8">
    <w:name w:val="Normal (Web)"/>
    <w:basedOn w:val="a"/>
    <w:uiPriority w:val="99"/>
    <w:unhideWhenUsed/>
    <w:rsid w:val="00C941E5"/>
    <w:pPr>
      <w:widowControl/>
      <w:spacing w:before="100" w:beforeAutospacing="1" w:after="100" w:afterAutospacing="1"/>
      <w:jc w:val="left"/>
    </w:pPr>
    <w:rPr>
      <w:rFonts w:ascii="宋体" w:eastAsia="宋体" w:hAnsi="宋体" w:cs="宋体"/>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479</Words>
  <Characters>2735</Characters>
  <Application>Microsoft Office Word</Application>
  <DocSecurity>0</DocSecurity>
  <Lines>22</Lines>
  <Paragraphs>6</Paragraphs>
  <ScaleCrop>false</ScaleCrop>
  <Company/>
  <LinksUpToDate>false</LinksUpToDate>
  <CharactersWithSpaces>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张晓波</dc:creator>
  <cp:lastModifiedBy>张晓波</cp:lastModifiedBy>
  <cp:revision>27</cp:revision>
  <dcterms:created xsi:type="dcterms:W3CDTF">2014-12-15T02:48:00Z</dcterms:created>
  <dcterms:modified xsi:type="dcterms:W3CDTF">2014-12-17T07:40:00Z</dcterms:modified>
</cp:coreProperties>
</file>