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098</w:t>
      </w:r>
      <w:r>
        <w:rPr>
          <w:rFonts w:hint="eastAsia" w:ascii="仿宋_GB2312" w:hAnsi="仿宋_GB2312" w:eastAsia="仿宋_GB2312" w:cs="仿宋_GB2312"/>
          <w:kern w:val="0"/>
          <w:sz w:val="28"/>
          <w:szCs w:val="28"/>
        </w:rPr>
        <w:t>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当事人名称：汕头市达濠建筑总公司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bookmarkStart w:id="0" w:name="OLE_LINK10"/>
      <w:r>
        <w:rPr>
          <w:rFonts w:hint="eastAsia" w:ascii="仿宋_GB2312" w:hAnsi="仿宋_GB2312" w:eastAsia="仿宋_GB2312" w:cs="仿宋_GB2312"/>
          <w:kern w:val="0"/>
          <w:sz w:val="28"/>
          <w:szCs w:val="28"/>
          <w:u w:val="none"/>
          <w:lang w:val="en-US" w:eastAsia="zh-CN"/>
        </w:rPr>
        <w:t>黄邦平</w:t>
      </w:r>
      <w:bookmarkEnd w:id="0"/>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bookmarkStart w:id="1" w:name="OLE_LINK11"/>
      <w:bookmarkStart w:id="2" w:name="OLE_LINK5"/>
      <w:r>
        <w:rPr>
          <w:rFonts w:hint="eastAsia" w:ascii="仿宋_GB2312" w:hAnsi="仿宋_GB2312" w:eastAsia="仿宋_GB2312" w:cs="仿宋_GB2312"/>
          <w:kern w:val="0"/>
          <w:sz w:val="28"/>
          <w:szCs w:val="28"/>
          <w:u w:val="none"/>
          <w:lang w:val="en-US" w:eastAsia="zh-CN"/>
        </w:rPr>
        <w:t>914405121930205178</w:t>
      </w:r>
      <w:bookmarkEnd w:id="1"/>
      <w:r>
        <w:rPr>
          <w:rFonts w:hint="eastAsia" w:ascii="仿宋_GB2312" w:hAnsi="仿宋_GB2312" w:eastAsia="仿宋_GB2312" w:cs="仿宋_GB2312"/>
          <w:kern w:val="0"/>
          <w:sz w:val="28"/>
          <w:szCs w:val="28"/>
          <w:u w:val="none"/>
        </w:rPr>
        <w:t xml:space="preserve"> </w:t>
      </w:r>
      <w:bookmarkEnd w:id="2"/>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3" w:name="OLE_LINK12"/>
      <w:r>
        <w:rPr>
          <w:rFonts w:hint="eastAsia" w:ascii="仿宋_GB2312" w:hAnsi="仿宋_GB2312" w:eastAsia="仿宋_GB2312" w:cs="仿宋_GB2312"/>
          <w:kern w:val="0"/>
          <w:sz w:val="28"/>
          <w:szCs w:val="28"/>
          <w:u w:val="none"/>
          <w:lang w:val="en-US" w:eastAsia="zh-CN"/>
        </w:rPr>
        <w:t>汕头市濠江区赤港红桥城建办综合楼二、三楼</w:t>
      </w:r>
      <w:bookmarkEnd w:id="3"/>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9月3日对你单位进行了调查，发现你单位实施了以下环境违法行为：2020年9月3日10时00分，我局执法人员在执法检查时，发现你单位作为施工单位在深圳市南山区蛇口工业七路36号的蛇口医院内科综合大楼建设土石方、基坑支护项目施工中，存在使用排放不合格的非道路移动机械的环境违法行为，现场检测发现排放不合格的非道路移动机械为：一台挖掘机（机械VIN码：SY0202CA69568）、一台履带吊（机械VIN码：CC0070BH0269）、两台旋挖桩（机械VIN码：XUG1050RKLHJ00248、XUGO400RELHJ00330）。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val="en-US" w:eastAsia="zh-CN"/>
        </w:rPr>
        <w:t>监测报告、《技术服务合同》复印件（编号：2020-01-0138-A1）、《2020年“深圳蓝”可持续行动计划》的通知复印件、深圳市计量质量检测研究院关于非道路移动机械检测情况的说明、检测原始记录单，</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你单位上述行为违反了《中华人民共和国大气污染防治法》第五十一条第一款的规定。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依据《中华人民共和国大气污染防治法》第一百一十四条第一款的规定，现责令你单位立即改正使用不合格非道路移动机械的违法行为。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bookmarkStart w:id="4" w:name="_GoBack"/>
      <w:bookmarkEnd w:id="4"/>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DAC60B6"/>
    <w:rsid w:val="1649023B"/>
    <w:rsid w:val="165E5D35"/>
    <w:rsid w:val="18592155"/>
    <w:rsid w:val="1D65524F"/>
    <w:rsid w:val="215146FD"/>
    <w:rsid w:val="23610C05"/>
    <w:rsid w:val="28346290"/>
    <w:rsid w:val="2CAD2897"/>
    <w:rsid w:val="2F491B88"/>
    <w:rsid w:val="32FC553B"/>
    <w:rsid w:val="37A64181"/>
    <w:rsid w:val="3A1D4415"/>
    <w:rsid w:val="3C9F620D"/>
    <w:rsid w:val="3E6E5583"/>
    <w:rsid w:val="4BA917D9"/>
    <w:rsid w:val="4CBB444C"/>
    <w:rsid w:val="52DF0458"/>
    <w:rsid w:val="5C6063B2"/>
    <w:rsid w:val="617F11A8"/>
    <w:rsid w:val="62181FD1"/>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2020-10-14T08:36:43Z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