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GH014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深圳市港龙实业有限公司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91440300MA5FDAYD0U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深圳市龙华区观澜街道白鸽湖路南一巷</w:t>
      </w:r>
      <w:r>
        <w:rPr>
          <w:rFonts w:hint="eastAsia"/>
          <w:lang w:val="en-US" w:eastAsia="zh-CN"/>
        </w:rPr>
        <w:t>8号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杨泉东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注塑工艺未安装废气治理设施，且未在密闭空间中进行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四十五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</w:rPr>
        <w:t>规定</w:t>
      </w:r>
      <w:r>
        <w:rPr>
          <w:rFonts w:hint="eastAsia"/>
          <w:color w:val="auto"/>
          <w:lang w:eastAsia="zh-CN"/>
        </w:rPr>
        <w:t>，</w:t>
      </w:r>
      <w:bookmarkStart w:id="0" w:name="_GoBack"/>
      <w:bookmarkEnd w:id="0"/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一百零八条第（一）项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立即停止违法排放污染物的行为，自接到本决定书之日起14日内落实安装废气污染防治设施。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21059134</w:t>
      </w:r>
      <w:r>
        <w:rPr>
          <w:rFonts w:hint="eastAsia"/>
          <w:color w:val="auto"/>
        </w:rPr>
        <w:t xml:space="preserve">    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4E3242C"/>
    <w:rsid w:val="18273281"/>
    <w:rsid w:val="1A875AB5"/>
    <w:rsid w:val="1CE72709"/>
    <w:rsid w:val="1DA14DAD"/>
    <w:rsid w:val="1E6C2DC2"/>
    <w:rsid w:val="2FC96789"/>
    <w:rsid w:val="33B848D3"/>
    <w:rsid w:val="37862EDC"/>
    <w:rsid w:val="381C5849"/>
    <w:rsid w:val="38EC0B46"/>
    <w:rsid w:val="40F30C9A"/>
    <w:rsid w:val="42526F58"/>
    <w:rsid w:val="434D2B52"/>
    <w:rsid w:val="44CD6C96"/>
    <w:rsid w:val="46F43FA3"/>
    <w:rsid w:val="4ADD697B"/>
    <w:rsid w:val="4E573AD7"/>
    <w:rsid w:val="4EBF5E80"/>
    <w:rsid w:val="53D21502"/>
    <w:rsid w:val="54A13B14"/>
    <w:rsid w:val="63DA4AC7"/>
    <w:rsid w:val="640179CD"/>
    <w:rsid w:val="671C0822"/>
    <w:rsid w:val="69334709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2021-01-21T08:56:42Z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