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四川瑞成建筑劳务</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刘建儒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91510000586485745F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成都市武侯区二环路南四段51号3栋12层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我局执法人员于2021年3月20日对你单位进行了调查，发现你单位实施了以下环境违法行为：2021年3月20日02时05分，我局执法人员在执法检查时，发现你单位作为施工单位在深圳市南山区南头街道中</w:t>
      </w:r>
      <w:bookmarkStart w:id="1" w:name="_GoBack"/>
      <w:bookmarkEnd w:id="1"/>
      <w:r>
        <w:rPr>
          <w:rFonts w:hint="eastAsia" w:ascii="仿宋_GB2312" w:hAnsi="仿宋_GB2312" w:eastAsia="仿宋_GB2312" w:cs="仿宋_GB2312"/>
          <w:kern w:val="0"/>
          <w:sz w:val="28"/>
          <w:szCs w:val="28"/>
          <w:u w:val="none"/>
        </w:rPr>
        <w:t xml:space="preserve">山公园东侧的深圳南山臻林天汇大厦项目土建及机电总承包工程施工及总承包管理配合服务工程-主体结构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法人授权委托书、中标通知书复印件、《工程劳务分包合同书》复印件、《工程开工令》复印件等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25C56F3"/>
    <w:rsid w:val="22B0166E"/>
    <w:rsid w:val="23610C05"/>
    <w:rsid w:val="247F1BD0"/>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