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深圳市建工集团股份有限公司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魏俊</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91440300192189548K</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深圳市南山区粤海街道科苑路8号讯美科技广场2号楼21楼</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29日对你单位进行了检查，发现你单位实施了以下环境违法行为：2021年5月29日01时51分，我局执法人员在执法检查时，发现你单位作为施工单位在深圳市南山区西丽留仙大道与塘开路交汇处的留仙洞公司返还用地主体工程施工中，存在未取得生态环境主管部门</w:t>
      </w:r>
      <w:bookmarkStart w:id="1" w:name="_GoBack"/>
      <w:bookmarkEnd w:id="1"/>
      <w:r>
        <w:rPr>
          <w:rFonts w:hint="eastAsia" w:ascii="仿宋_GB2312" w:hAnsi="仿宋_GB2312" w:eastAsia="仿宋_GB2312" w:cs="仿宋_GB2312"/>
          <w:kern w:val="0"/>
          <w:sz w:val="28"/>
          <w:szCs w:val="28"/>
          <w:u w:val="none"/>
        </w:rPr>
        <w:t xml:space="preserve">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64D7333"/>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2021-06-23T03:57:48Z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