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当事人名称：东莞市天发建筑基础工程有限公司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李天发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91441900MA52UGGT4P</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广东省东莞市大朗镇榕尾街28号508房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我局执法人员于2021年6月3日对你单位进行了检查，发现你单位实施了以下环境违法行为：2021年6月3日23时57</w:t>
      </w:r>
      <w:bookmarkStart w:id="0" w:name="_GoBack"/>
      <w:bookmarkEnd w:id="0"/>
      <w:r>
        <w:rPr>
          <w:rFonts w:hint="eastAsia" w:ascii="仿宋_GB2312" w:hAnsi="仿宋_GB2312" w:eastAsia="仿宋_GB2312" w:cs="仿宋_GB2312"/>
          <w:kern w:val="0"/>
          <w:sz w:val="28"/>
          <w:szCs w:val="28"/>
          <w:u w:val="none"/>
        </w:rPr>
        <w:t xml:space="preserve">分，我局执法人员在执法检查时，发现你单位作为施工单位在深圳市南山区西丽街道牛成村的铁岗水库牛成村建成区径流调蓄转输工程施工中，存在未按照《深圳市生态环境局关于加强中、高考期间噪声污染管理的通告》的要求，在中、高考期间进行产生环境噪声的浇筑箱涵混凝土的建筑施工作业的环境违法行为，现场调查时发现使用了天泵、混凝土罐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复印件、法人授权委托书、中标通知书复印件、《专业分包合同》复印件、《情况说明》等证据为凭。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38328C6"/>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2021-07-21T06:13:23Z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