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2"/>
      <w:r>
        <w:rPr>
          <w:rFonts w:hint="eastAsia" w:ascii="仿宋_GB2312" w:hAnsi="仿宋_GB2312" w:eastAsia="仿宋_GB2312" w:cs="仿宋_GB2312"/>
          <w:kern w:val="0"/>
          <w:sz w:val="28"/>
          <w:szCs w:val="28"/>
          <w:u w:val="none"/>
          <w:lang w:eastAsia="zh-CN"/>
        </w:rPr>
        <w:t>深圳赤湾港口发展有限公司</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刘彬</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914403006188334931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深圳市南山区招商街道赤湾社区赤湾石油大厦801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我局执法人员于2021年7月2日对你单位进行了检查，发现你单位实施了以下环境违法行为：2021年7月2日10时15分，我局执法人员对位于深</w:t>
      </w:r>
      <w:bookmarkStart w:id="1" w:name="_GoBack"/>
      <w:bookmarkEnd w:id="1"/>
      <w:r>
        <w:rPr>
          <w:rFonts w:hint="eastAsia" w:ascii="仿宋_GB2312" w:hAnsi="仿宋_GB2312" w:eastAsia="仿宋_GB2312" w:cs="仿宋_GB2312"/>
          <w:kern w:val="0"/>
          <w:sz w:val="28"/>
          <w:szCs w:val="28"/>
          <w:u w:val="none"/>
        </w:rPr>
        <w:t xml:space="preserve">圳市南山区赤湾二路5号的深圳赤湾港口发展有限公司进行执法检查，检查发现你单位有9个堆场（8个为粮食堆场，1个为沙石堆场），现场检查时有3台门座位式起重机正在进行小麦装卸作业，装卸作业过程会产生扬尘，部分区域无扬尘防治措施。沙石堆场沙子和碎石裸露堆放，堆场周边未设置洒水、喷淋等抑尘措施。你单位作为码头经营主体，在上述货物装卸、仓储服务经营中，存在未采取有效措施防治扬尘污染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招商局集团《关于招商港口向深赤湾港口发展划转资产、业务及人员的批复》复印件、《环评批复》复印件、《港口经营许可证》复印件、《固定污染源排污登记回执》、公司名称变更通知函、《港口经营许可证法定代表人信息变更情况说明》、《变更（备案)通知书》、《深圳市土地使用权出让合同书》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你单位上述行为违反了：《中华人民共和国大气污染防治法》第七十二条第二款的规定。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依据《中华人民共和国大气污染防治法》第一百一十七条第（五）项的规定，现责令你单位限期七日内改正违法行为。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我局将自本决定书送达之日起七日内对你单位违法行为的改正情况实施复查。若复查时发现你单位拒不改正的，我局可依法采取法律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005A6D"/>
    <w:rsid w:val="1DCF568E"/>
    <w:rsid w:val="1FB366A6"/>
    <w:rsid w:val="215146FD"/>
    <w:rsid w:val="22986695"/>
    <w:rsid w:val="23610C05"/>
    <w:rsid w:val="24D13031"/>
    <w:rsid w:val="257C3C48"/>
    <w:rsid w:val="25EA075D"/>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2021-07-26T07:05:54Z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