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0" w:name="_GoBack"/>
      <w:r>
        <w:rPr>
          <w:rFonts w:hint="eastAsia" w:ascii="仿宋_GB2312" w:hAnsi="仿宋_GB2312" w:eastAsia="仿宋_GB2312" w:cs="仿宋_GB2312"/>
          <w:kern w:val="0"/>
          <w:sz w:val="28"/>
          <w:szCs w:val="28"/>
          <w:u w:val="none"/>
        </w:rPr>
        <w:t xml:space="preserve">名称：中建三局第二建设工程有限责任公司华南公司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梁熊</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91440300708582827X</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深圳市罗湖区经二路九号1-5层</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6月5日对你单位进行了检查，发现你单位实施了以下环境违法行为：2021年6月5日00时03分，我局执法人员在执法检查时，发现你单位作为施工单位在深圳市南山区赤湾的赤湾地铁站城市综合体工程施工中，存在未按照《深圳市生态环境局关于加强中、高考期间噪声污染管理的通告》的要求，在中、高考期间进行产生环境噪声的浇筑混凝土的建筑施工作业的环境违法行为，现场调查时发现你单位使用了混凝土车和混凝土输送泵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3CA20F5"/>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2021-08-09T09:52:18Z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6989ACDA3E1949C59C869731F46DCAB1</vt:lpwstr>
  </property>
</Properties>
</file>