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96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附件3</w:t>
      </w:r>
    </w:p>
    <w:p>
      <w:pPr>
        <w:autoSpaceDE w:val="0"/>
        <w:autoSpaceDN w:val="0"/>
        <w:spacing w:after="120" w:afterLines="50" w:line="0" w:lineRule="atLeast"/>
        <w:jc w:val="center"/>
        <w:rPr>
          <w:rFonts w:hint="eastAsia" w:ascii="宋体" w:hAnsi="宋体" w:cs="方正小标宋_GBK"/>
          <w:sz w:val="36"/>
          <w:szCs w:val="36"/>
        </w:rPr>
      </w:pPr>
      <w:bookmarkStart w:id="0" w:name="_GoBack"/>
      <w:r>
        <w:rPr>
          <w:rFonts w:hint="eastAsia" w:ascii="宋体" w:hAnsi="宋体" w:cs="方正小标宋_GBK"/>
          <w:sz w:val="36"/>
          <w:szCs w:val="36"/>
        </w:rPr>
        <w:t>深圳市海域环境管控单元汇总表</w:t>
      </w:r>
      <w:bookmarkEnd w:id="0"/>
    </w:p>
    <w:tbl>
      <w:tblPr>
        <w:tblStyle w:val="4"/>
        <w:tblW w:w="49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469"/>
        <w:gridCol w:w="2159"/>
        <w:gridCol w:w="2159"/>
        <w:gridCol w:w="2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zCs w:val="21"/>
              </w:rPr>
              <w:t>行政分区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pacing w:val="-5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pacing w:val="-5"/>
                <w:szCs w:val="21"/>
              </w:rPr>
              <w:t>优先保护单元数量（个）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pacing w:val="-5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pacing w:val="-5"/>
                <w:szCs w:val="21"/>
              </w:rPr>
              <w:t>重点管控单元数量（个）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spacing w:val="-5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spacing w:val="-5"/>
                <w:szCs w:val="21"/>
              </w:rPr>
              <w:t>一般管控单元数量（个）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深圳市（不含深汕特别合作区）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深汕特别合作区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合计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</w:rPr>
    </w:pPr>
    <w:r>
      <w:rPr>
        <w:rStyle w:val="6"/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Style w:val="6"/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16</w:t>
    </w:r>
    <w:r>
      <w:rPr>
        <w:rStyle w:val="6"/>
        <w:rFonts w:ascii="Times New Roman" w:hAnsi="Times New Roman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ascii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20405"/>
    <w:rsid w:val="686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2021-08-11T06:43:00Z</dcterms:created>
  <dc:creator>-Jus</dc:creator>
  <cp:lastModifiedBy>-Jus</cp:lastModifiedBy>
  <dcterms:modified xsi:type="dcterms:W3CDTF">2021-08-11T06:45:21Z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