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2</w:t>
      </w:r>
      <w:r>
        <w:rPr>
          <w:rFonts w:hint="eastAsia" w:ascii="仿宋_GB2312" w:hAnsi="仿宋_GB2312" w:eastAsia="仿宋_GB2312" w:cs="仿宋_GB2312"/>
          <w:kern w:val="0"/>
          <w:sz w:val="28"/>
          <w:szCs w:val="28"/>
          <w:lang w:val="en-US" w:eastAsia="zh-CN"/>
        </w:rPr>
        <w:t>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北京君驰华宇环境工程有限公司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邢艳红</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91110112MA01MP4F41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北京市通州区永乐店镇柴厂屯村东（联航大厦）1-2785号</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2日对你单位进行了检查，发现你单位实施了以下环境违法行为：2021年7月2日01时20分，我局执法人员在执法检查时，发现你单位作为施工单位在深圳市南山区后海中心区的安邦财险深圳总部大厦基础工程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复印件、法人授权委托书、《建筑业企业资质证书》复印件、《安全生产许可证》复印件、中标通知书复印件、土石方开挖令、《分包合同》复印件等证据为凭。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287AA1"/>
    <w:rsid w:val="76471095"/>
    <w:rsid w:val="770A14D6"/>
    <w:rsid w:val="78C96907"/>
    <w:rsid w:val="790E4056"/>
    <w:rsid w:val="7991326C"/>
    <w:rsid w:val="799372D4"/>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2021-08-17T03:45:48Z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