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overflowPunct/>
        <w:topLinePunct w:val="0"/>
        <w:autoSpaceDE w:val="0"/>
        <w:autoSpaceDN w:val="0"/>
        <w:bidi w:val="0"/>
        <w:adjustRightInd w:val="0"/>
        <w:snapToGrid/>
        <w:spacing w:line="560" w:lineRule="exact"/>
        <w:jc w:val="center"/>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37</w:t>
      </w:r>
      <w:r>
        <w:rPr>
          <w:rFonts w:hint="eastAsia" w:ascii="仿宋_GB2312" w:hAnsi="宋体" w:eastAsia="仿宋_GB2312" w:cs="宋体"/>
          <w:color w:val="auto"/>
          <w:kern w:val="0"/>
          <w:sz w:val="32"/>
          <w:szCs w:val="32"/>
          <w:highlight w:val="none"/>
        </w:rPr>
        <w:t>号</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当事人名称：深圳市鸿浩建筑劳务有限公司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法定代表人：邱国武 </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统一社会信用代码：91440300MA5FM0TT1B</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住所：深圳市盐田区海山街道鹏湾社区深盐路2015号盐田综合保税区沙头角片区工业区26栋7层706-2</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2021</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9</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u w:val="single"/>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2021年8月9日23时47分，接市民投诉，我局执法人员来到位于深圳市盐田区永安路2号的港嵘拔翠园项目</w:t>
      </w:r>
      <w:r>
        <w:rPr>
          <w:rFonts w:hint="eastAsia" w:ascii="仿宋_GB2312" w:hAnsi="宋体" w:eastAsia="仿宋_GB2312" w:cs="宋体"/>
          <w:color w:val="auto"/>
          <w:kern w:val="0"/>
          <w:sz w:val="32"/>
          <w:szCs w:val="32"/>
          <w:highlight w:val="none"/>
          <w:u w:val="none"/>
          <w:lang w:val="en-US" w:eastAsia="zh-CN"/>
        </w:rPr>
        <w:t>检查</w:t>
      </w:r>
      <w:r>
        <w:rPr>
          <w:rFonts w:hint="eastAsia" w:ascii="仿宋_GB2312" w:hAnsi="宋体" w:eastAsia="仿宋_GB2312" w:cs="宋体"/>
          <w:color w:val="auto"/>
          <w:kern w:val="0"/>
          <w:sz w:val="32"/>
          <w:szCs w:val="32"/>
          <w:highlight w:val="none"/>
          <w:u w:val="none"/>
        </w:rPr>
        <w:t>，发现</w:t>
      </w:r>
      <w:r>
        <w:rPr>
          <w:rFonts w:hint="eastAsia" w:ascii="仿宋_GB2312" w:hAnsi="宋体" w:eastAsia="仿宋_GB2312" w:cs="宋体"/>
          <w:color w:val="auto"/>
          <w:kern w:val="0"/>
          <w:sz w:val="32"/>
          <w:szCs w:val="32"/>
          <w:highlight w:val="none"/>
          <w:u w:val="none"/>
          <w:lang w:val="en-US" w:eastAsia="zh-CN"/>
        </w:rPr>
        <w:t>该</w:t>
      </w:r>
      <w:r>
        <w:rPr>
          <w:rFonts w:hint="eastAsia" w:ascii="仿宋_GB2312" w:hAnsi="宋体" w:eastAsia="仿宋_GB2312" w:cs="宋体"/>
          <w:color w:val="auto"/>
          <w:kern w:val="0"/>
          <w:sz w:val="32"/>
          <w:szCs w:val="32"/>
          <w:highlight w:val="none"/>
          <w:u w:val="none"/>
        </w:rPr>
        <w:t>工地正在进行混</w:t>
      </w:r>
      <w:r>
        <w:rPr>
          <w:rFonts w:hint="eastAsia" w:ascii="仿宋_GB2312" w:hAnsi="宋体" w:eastAsia="仿宋_GB2312" w:cs="宋体"/>
          <w:color w:val="auto"/>
          <w:kern w:val="0"/>
          <w:sz w:val="32"/>
          <w:szCs w:val="32"/>
          <w:highlight w:val="none"/>
          <w:u w:val="none"/>
          <w:lang w:val="en-US" w:eastAsia="zh-CN"/>
        </w:rPr>
        <w:t>凝</w:t>
      </w:r>
      <w:r>
        <w:rPr>
          <w:rFonts w:hint="eastAsia" w:ascii="仿宋_GB2312" w:hAnsi="宋体" w:eastAsia="仿宋_GB2312" w:cs="宋体"/>
          <w:color w:val="auto"/>
          <w:kern w:val="0"/>
          <w:sz w:val="32"/>
          <w:szCs w:val="32"/>
          <w:highlight w:val="none"/>
          <w:u w:val="none"/>
        </w:rPr>
        <w:t>土浇筑作业，未取得施工作业证明，现场正</w:t>
      </w:r>
      <w:r>
        <w:rPr>
          <w:rFonts w:hint="eastAsia" w:ascii="仿宋_GB2312" w:hAnsi="宋体" w:eastAsia="仿宋_GB2312" w:cs="宋体"/>
          <w:color w:val="auto"/>
          <w:kern w:val="0"/>
          <w:sz w:val="32"/>
          <w:szCs w:val="32"/>
          <w:highlight w:val="none"/>
          <w:u w:val="none"/>
          <w:lang w:val="en-US" w:eastAsia="zh-CN"/>
        </w:rPr>
        <w:t>在</w:t>
      </w:r>
      <w:r>
        <w:rPr>
          <w:rFonts w:hint="eastAsia" w:ascii="仿宋_GB2312" w:hAnsi="宋体" w:eastAsia="仿宋_GB2312" w:cs="宋体"/>
          <w:color w:val="auto"/>
          <w:kern w:val="0"/>
          <w:sz w:val="32"/>
          <w:szCs w:val="32"/>
          <w:highlight w:val="none"/>
          <w:u w:val="none"/>
        </w:rPr>
        <w:t>进行混凝土浇筑作业，产生施工噪声影响周边环境</w:t>
      </w:r>
      <w:r>
        <w:rPr>
          <w:rFonts w:hint="eastAsia" w:ascii="仿宋_GB2312" w:hAnsi="宋体" w:eastAsia="仿宋_GB2312" w:cs="宋体"/>
          <w:color w:val="auto"/>
          <w:kern w:val="0"/>
          <w:sz w:val="32"/>
          <w:szCs w:val="32"/>
          <w:highlight w:val="none"/>
          <w:u w:val="none"/>
          <w:lang w:eastAsia="zh-CN"/>
        </w:rPr>
        <w:t>。</w:t>
      </w:r>
      <w:r>
        <w:rPr>
          <w:rFonts w:hint="eastAsia" w:ascii="仿宋_GB2312" w:hAnsi="宋体" w:eastAsia="仿宋_GB2312" w:cs="宋体"/>
          <w:color w:val="auto"/>
          <w:kern w:val="0"/>
          <w:sz w:val="32"/>
          <w:szCs w:val="32"/>
          <w:highlight w:val="none"/>
          <w:u w:val="none"/>
        </w:rPr>
        <w:t>我局执法人员现场拍照录像取证并要求</w:t>
      </w:r>
      <w:r>
        <w:rPr>
          <w:rFonts w:hint="eastAsia" w:ascii="仿宋_GB2312" w:hAnsi="宋体" w:eastAsia="仿宋_GB2312" w:cs="宋体"/>
          <w:color w:val="auto"/>
          <w:kern w:val="0"/>
          <w:sz w:val="32"/>
          <w:szCs w:val="32"/>
          <w:highlight w:val="none"/>
          <w:u w:val="none"/>
          <w:lang w:eastAsia="zh-CN"/>
        </w:rPr>
        <w:t>你</w:t>
      </w:r>
      <w:r>
        <w:rPr>
          <w:rFonts w:hint="eastAsia" w:ascii="仿宋_GB2312" w:hAnsi="宋体" w:eastAsia="仿宋_GB2312" w:cs="宋体"/>
          <w:color w:val="auto"/>
          <w:kern w:val="0"/>
          <w:sz w:val="32"/>
          <w:szCs w:val="32"/>
          <w:highlight w:val="none"/>
          <w:u w:val="none"/>
        </w:rPr>
        <w:t xml:space="preserve">单位停止违法施工行为。                 </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 xml:space="preserve"> 《深圳经济特区环境噪声污染防治条例（2020年修正版）》第二十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rPr>
        <w:sym w:font="Wingdings 2" w:char="0052"/>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rPr>
        <w:sym w:font="Wingdings 2" w:char="0052"/>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rPr>
        <w:sym w:font="Wingdings 2" w:char="0052"/>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single"/>
          <w:lang w:val="zh-CN"/>
        </w:rPr>
      </w:pPr>
      <w:r>
        <w:rPr>
          <w:rFonts w:hint="eastAsia" w:ascii="仿宋_GB2312" w:hAnsi="宋体" w:eastAsia="仿宋_GB2312" w:cs="宋体"/>
          <w:color w:val="auto"/>
          <w:kern w:val="0"/>
          <w:sz w:val="32"/>
          <w:szCs w:val="32"/>
          <w:highlight w:val="none"/>
          <w:lang w:val="zh-CN"/>
        </w:rPr>
        <w:t>联系人：</w:t>
      </w:r>
      <w:r>
        <w:rPr>
          <w:rFonts w:hint="eastAsia" w:ascii="仿宋_GB2312" w:hAnsi="宋体" w:eastAsia="仿宋_GB2312" w:cs="宋体"/>
          <w:color w:val="auto"/>
          <w:kern w:val="0"/>
          <w:sz w:val="32"/>
          <w:szCs w:val="32"/>
          <w:highlight w:val="none"/>
          <w:u w:val="single"/>
          <w:lang w:val="zh-CN"/>
        </w:rPr>
        <w:t xml:space="preserve"> 陈锡江 </w:t>
      </w:r>
      <w:r>
        <w:rPr>
          <w:rFonts w:hint="eastAsia" w:ascii="仿宋_GB2312" w:hAnsi="宋体" w:eastAsia="仿宋_GB2312" w:cs="宋体"/>
          <w:color w:val="auto"/>
          <w:kern w:val="0"/>
          <w:sz w:val="32"/>
          <w:szCs w:val="32"/>
          <w:highlight w:val="none"/>
          <w:u w:val="none"/>
          <w:lang w:val="zh-CN"/>
        </w:rPr>
        <w:t xml:space="preserve">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lang w:val="zh-CN"/>
        </w:rPr>
        <w:t>电话：</w:t>
      </w:r>
      <w:r>
        <w:rPr>
          <w:rFonts w:hint="eastAsia" w:ascii="仿宋_GB2312" w:hAnsi="宋体" w:eastAsia="仿宋_GB2312" w:cs="宋体"/>
          <w:color w:val="auto"/>
          <w:kern w:val="0"/>
          <w:sz w:val="32"/>
          <w:szCs w:val="32"/>
          <w:highlight w:val="none"/>
          <w:u w:val="single"/>
          <w:lang w:val="zh-CN"/>
        </w:rPr>
        <w:t xml:space="preserve"> </w:t>
      </w:r>
      <w:r>
        <w:rPr>
          <w:rFonts w:hint="eastAsia" w:ascii="仿宋_GB2312" w:hAnsi="宋体" w:eastAsia="仿宋_GB2312" w:cs="宋体"/>
          <w:color w:val="auto"/>
          <w:kern w:val="0"/>
          <w:sz w:val="32"/>
          <w:szCs w:val="32"/>
          <w:highlight w:val="none"/>
          <w:u w:val="single"/>
          <w:lang w:val="en-US" w:eastAsia="zh-CN"/>
        </w:rPr>
        <w:t>0755-</w:t>
      </w:r>
      <w:r>
        <w:rPr>
          <w:rFonts w:hint="eastAsia" w:ascii="仿宋_GB2312" w:hAnsi="宋体" w:eastAsia="仿宋_GB2312" w:cs="宋体"/>
          <w:color w:val="auto"/>
          <w:kern w:val="0"/>
          <w:sz w:val="32"/>
          <w:szCs w:val="32"/>
          <w:highlight w:val="none"/>
          <w:u w:val="single"/>
          <w:lang w:val="zh-CN"/>
        </w:rPr>
        <w:t>22351066</w:t>
      </w:r>
    </w:p>
    <w:p>
      <w:pPr>
        <w:keepNext w:val="0"/>
        <w:keepLines w:val="0"/>
        <w:pageBreakBefore w:val="0"/>
        <w:kinsoku/>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single"/>
          <w:lang w:val="zh-CN"/>
        </w:rPr>
      </w:pPr>
      <w:r>
        <w:rPr>
          <w:rFonts w:hint="eastAsia" w:ascii="仿宋_GB2312" w:hAnsi="宋体" w:eastAsia="仿宋_GB2312" w:cs="宋体"/>
          <w:color w:val="auto"/>
          <w:kern w:val="0"/>
          <w:sz w:val="32"/>
          <w:szCs w:val="32"/>
          <w:highlight w:val="none"/>
          <w:lang w:val="zh-CN"/>
        </w:rPr>
        <w:t>地</w:t>
      </w:r>
      <w:r>
        <w:rPr>
          <w:rFonts w:hint="eastAsia" w:ascii="仿宋_GB2312" w:hAnsi="宋体" w:eastAsia="仿宋_GB2312" w:cs="宋体"/>
          <w:color w:val="auto"/>
          <w:kern w:val="0"/>
          <w:sz w:val="32"/>
          <w:szCs w:val="32"/>
          <w:highlight w:val="none"/>
          <w:lang w:val="en-US" w:eastAsia="zh-CN"/>
        </w:rPr>
        <w:t xml:space="preserve">  </w:t>
      </w:r>
      <w:r>
        <w:rPr>
          <w:rFonts w:hint="eastAsia" w:ascii="仿宋_GB2312" w:hAnsi="宋体" w:eastAsia="仿宋_GB2312" w:cs="宋体"/>
          <w:color w:val="auto"/>
          <w:kern w:val="0"/>
          <w:sz w:val="32"/>
          <w:szCs w:val="32"/>
          <w:highlight w:val="none"/>
          <w:lang w:val="zh-CN"/>
        </w:rPr>
        <w:t>址：</w:t>
      </w:r>
      <w:r>
        <w:rPr>
          <w:rFonts w:hint="eastAsia" w:ascii="仿宋_GB2312" w:hAnsi="宋体" w:eastAsia="仿宋_GB2312" w:cs="宋体"/>
          <w:color w:val="auto"/>
          <w:kern w:val="0"/>
          <w:sz w:val="32"/>
          <w:szCs w:val="32"/>
          <w:highlight w:val="none"/>
          <w:u w:val="single"/>
          <w:lang w:val="zh-CN"/>
        </w:rPr>
        <w:t xml:space="preserve"> 盐田区香径南街盐田区</w:t>
      </w:r>
      <w:r>
        <w:rPr>
          <w:rFonts w:hint="eastAsia" w:ascii="仿宋_GB2312" w:hAnsi="宋体" w:eastAsia="仿宋_GB2312" w:cs="宋体"/>
          <w:color w:val="auto"/>
          <w:kern w:val="0"/>
          <w:sz w:val="32"/>
          <w:szCs w:val="32"/>
          <w:highlight w:val="none"/>
          <w:u w:val="single"/>
          <w:lang w:val="zh-CN" w:eastAsia="zh-CN"/>
        </w:rPr>
        <w:t>文化</w:t>
      </w:r>
      <w:r>
        <w:rPr>
          <w:rFonts w:hint="eastAsia" w:ascii="仿宋_GB2312" w:hAnsi="宋体" w:eastAsia="仿宋_GB2312" w:cs="宋体"/>
          <w:color w:val="auto"/>
          <w:kern w:val="0"/>
          <w:sz w:val="32"/>
          <w:szCs w:val="32"/>
          <w:highlight w:val="none"/>
          <w:u w:val="single"/>
          <w:lang w:val="zh-CN"/>
        </w:rPr>
        <w:t>馆</w:t>
      </w:r>
      <w:r>
        <w:rPr>
          <w:rFonts w:hint="eastAsia" w:ascii="仿宋_GB2312" w:hAnsi="宋体" w:eastAsia="仿宋_GB2312" w:cs="宋体"/>
          <w:color w:val="auto"/>
          <w:kern w:val="0"/>
          <w:sz w:val="32"/>
          <w:szCs w:val="32"/>
          <w:highlight w:val="none"/>
          <w:u w:val="single"/>
          <w:lang w:val="zh-CN" w:eastAsia="zh-CN"/>
        </w:rPr>
        <w:t>四楼</w:t>
      </w:r>
    </w:p>
    <w:p>
      <w:pPr>
        <w:pStyle w:val="2"/>
        <w:keepNext w:val="0"/>
        <w:keepLines w:val="0"/>
        <w:pageBreakBefore w:val="0"/>
        <w:kinsoku/>
        <w:wordWrap/>
        <w:overflowPunct/>
        <w:topLinePunct w:val="0"/>
        <w:bidi w:val="0"/>
        <w:snapToGrid/>
        <w:spacing w:line="560" w:lineRule="exact"/>
        <w:textAlignment w:val="auto"/>
        <w:rPr>
          <w:rFonts w:hint="eastAsia"/>
          <w:lang w:val="zh-CN"/>
        </w:rPr>
      </w:pPr>
    </w:p>
    <w:p>
      <w:pPr>
        <w:pStyle w:val="7"/>
        <w:keepNext w:val="0"/>
        <w:keepLines w:val="0"/>
        <w:pageBreakBefore w:val="0"/>
        <w:kinsoku/>
        <w:overflowPunct/>
        <w:topLinePunct w:val="0"/>
        <w:bidi w:val="0"/>
        <w:snapToGrid/>
        <w:spacing w:line="56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60" w:lineRule="exact"/>
        <w:jc w:val="center"/>
        <w:textAlignment w:val="auto"/>
        <w:rPr>
          <w:rFonts w:ascii="仿宋_GB2312" w:hAnsi="宋体" w:eastAsia="仿宋_GB2312"/>
          <w:color w:val="auto"/>
          <w:sz w:val="32"/>
          <w:szCs w:val="32"/>
          <w:highlight w:val="none"/>
        </w:rPr>
      </w:pPr>
      <w:r>
        <w:rPr>
          <w:rFonts w:hint="eastAsia" w:ascii="仿宋_GB2312" w:eastAsia="仿宋_GB2312"/>
          <w:color w:val="auto"/>
          <w:sz w:val="32"/>
          <w:szCs w:val="32"/>
          <w:highlight w:val="none"/>
          <w:lang w:val="en-US" w:eastAsia="zh-CN"/>
        </w:rPr>
        <w:t xml:space="preserve">                             二〇二一年八月九日</w:t>
      </w:r>
    </w:p>
    <w:p>
      <w:pPr>
        <w:numPr>
          <w:ilvl w:val="0"/>
          <w:numId w:val="0"/>
        </w:numPr>
        <w:rPr>
          <w:rFonts w:hint="eastAsia" w:ascii="仿宋_GB2312" w:hAnsi="宋体" w:eastAsia="仿宋_GB2312"/>
          <w:sz w:val="24"/>
          <w:szCs w:val="24"/>
          <w:highlight w:val="none"/>
          <w:lang w:val="en-US" w:eastAsia="zh-CN"/>
        </w:rPr>
      </w:pP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numPr>
          <w:ilvl w:val="0"/>
          <w:numId w:val="0"/>
        </w:numPr>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numPr>
          <w:ilvl w:val="0"/>
          <w:numId w:val="0"/>
        </w:numPr>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numPr>
          <w:ilvl w:val="0"/>
          <w:numId w:val="0"/>
        </w:numPr>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numPr>
          <w:ilvl w:val="0"/>
          <w:numId w:val="0"/>
        </w:numPr>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rPr>
          <w:rFonts w:ascii="黑体" w:hAnsi="黑体" w:eastAsia="黑体"/>
          <w:b/>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0" w:type="auto"/>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r>
              <w:rPr>
                <w:rFonts w:hint="eastAsia" w:ascii="仿宋_GB2312" w:hAnsi="宋体" w:eastAsia="仿宋_GB2312"/>
                <w:color w:val="auto"/>
                <w:sz w:val="28"/>
                <w:szCs w:val="28"/>
                <w:highlight w:val="none"/>
              </w:rPr>
              <w:t>责令改正违法行为决定书</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37</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深圳市鸿浩建筑劳务有限公司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sym w:font="Wingdings 2" w:char="0052"/>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bookmarkStart w:id="0" w:name="_GoBack"/>
            <w:bookmarkEnd w:id="0"/>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21B98"/>
    <w:rsid w:val="112215EA"/>
    <w:rsid w:val="127F2527"/>
    <w:rsid w:val="13CD012B"/>
    <w:rsid w:val="14F27D13"/>
    <w:rsid w:val="151137F8"/>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624D1A"/>
    <w:rsid w:val="311704B7"/>
    <w:rsid w:val="31D5518D"/>
    <w:rsid w:val="36270B91"/>
    <w:rsid w:val="368B1BD2"/>
    <w:rsid w:val="36D15F3F"/>
    <w:rsid w:val="38B02D6F"/>
    <w:rsid w:val="38EB40AB"/>
    <w:rsid w:val="3BBF0DA2"/>
    <w:rsid w:val="3D453069"/>
    <w:rsid w:val="419E60A2"/>
    <w:rsid w:val="46E83350"/>
    <w:rsid w:val="49BA3657"/>
    <w:rsid w:val="4B175F93"/>
    <w:rsid w:val="4B4432C6"/>
    <w:rsid w:val="50221E3A"/>
    <w:rsid w:val="50D973B7"/>
    <w:rsid w:val="513A1EA6"/>
    <w:rsid w:val="51CC4D42"/>
    <w:rsid w:val="524A1BBA"/>
    <w:rsid w:val="52C84BF7"/>
    <w:rsid w:val="54547134"/>
    <w:rsid w:val="56C85F93"/>
    <w:rsid w:val="57C64365"/>
    <w:rsid w:val="59BE6732"/>
    <w:rsid w:val="5A6332BB"/>
    <w:rsid w:val="5C820D83"/>
    <w:rsid w:val="5CD8363E"/>
    <w:rsid w:val="5E7457AE"/>
    <w:rsid w:val="5F324BBD"/>
    <w:rsid w:val="5F800338"/>
    <w:rsid w:val="60153310"/>
    <w:rsid w:val="60CF277C"/>
    <w:rsid w:val="6330588A"/>
    <w:rsid w:val="651B3DA7"/>
    <w:rsid w:val="66346F74"/>
    <w:rsid w:val="69B71C71"/>
    <w:rsid w:val="69C83CAB"/>
    <w:rsid w:val="6AAB5F04"/>
    <w:rsid w:val="6B766472"/>
    <w:rsid w:val="723F510A"/>
    <w:rsid w:val="727D6141"/>
    <w:rsid w:val="732E6FC8"/>
    <w:rsid w:val="74EE1477"/>
    <w:rsid w:val="75BD69F3"/>
    <w:rsid w:val="76F6361D"/>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0</TotalTime>
  <ScaleCrop>false</ScaleCrop>
  <LinksUpToDate>false</LinksUpToDate>
  <CharactersWithSpaces>3505</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2021-08-02T08:35:00Z</cp:lastPrinted>
  <dcterms:modified xsi:type="dcterms:W3CDTF">2021-08-18T03:03:11Z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6641A4EAFBD249E982FF79D758364221</vt:lpwstr>
  </property>
</Properties>
</file>