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方正小标宋简体" w:hAnsi="黑体" w:eastAsia="方正小标宋简体" w:cs="仿宋_GB2312"/>
          <w:color w:val="auto"/>
          <w:kern w:val="0"/>
          <w:sz w:val="44"/>
          <w:szCs w:val="44"/>
          <w:highlight w:val="none"/>
        </w:rPr>
      </w:pPr>
      <w:r>
        <w:rPr>
          <w:rFonts w:hint="eastAsia" w:ascii="方正小标宋简体" w:hAnsi="黑体" w:eastAsia="方正小标宋简体" w:cs="仿宋_GB2312"/>
          <w:color w:val="auto"/>
          <w:kern w:val="0"/>
          <w:sz w:val="44"/>
          <w:szCs w:val="44"/>
          <w:highlight w:val="none"/>
        </w:rPr>
        <w:t>责令改正违法行为决定书</w:t>
      </w:r>
    </w:p>
    <w:p>
      <w:pPr>
        <w:keepNext w:val="0"/>
        <w:keepLines w:val="0"/>
        <w:pageBreakBefore w:val="0"/>
        <w:kinsoku/>
        <w:wordWrap/>
        <w:overflowPunct/>
        <w:topLinePunct w:val="0"/>
        <w:autoSpaceDE w:val="0"/>
        <w:autoSpaceDN w:val="0"/>
        <w:bidi w:val="0"/>
        <w:adjustRightInd w:val="0"/>
        <w:snapToGrid/>
        <w:spacing w:line="560" w:lineRule="exact"/>
        <w:jc w:val="center"/>
        <w:textAlignment w:val="auto"/>
        <w:rPr>
          <w:rFonts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深环</w:t>
      </w:r>
      <w:r>
        <w:rPr>
          <w:rFonts w:hint="eastAsia" w:ascii="仿宋_GB2312" w:hAnsi="宋体" w:eastAsia="仿宋_GB2312" w:cs="宋体"/>
          <w:color w:val="auto"/>
          <w:kern w:val="0"/>
          <w:sz w:val="32"/>
          <w:szCs w:val="32"/>
          <w:highlight w:val="none"/>
          <w:lang w:eastAsia="zh-CN"/>
        </w:rPr>
        <w:t>盐田</w:t>
      </w:r>
      <w:r>
        <w:rPr>
          <w:rFonts w:hint="eastAsia" w:ascii="仿宋_GB2312" w:hAnsi="宋体" w:eastAsia="仿宋_GB2312" w:cs="宋体"/>
          <w:color w:val="auto"/>
          <w:kern w:val="0"/>
          <w:sz w:val="32"/>
          <w:szCs w:val="32"/>
          <w:highlight w:val="none"/>
        </w:rPr>
        <w:t>责改字〔20</w:t>
      </w:r>
      <w:r>
        <w:rPr>
          <w:rFonts w:hint="eastAsia" w:ascii="仿宋_GB2312" w:hAnsi="宋体" w:eastAsia="仿宋_GB2312" w:cs="宋体"/>
          <w:color w:val="auto"/>
          <w:kern w:val="0"/>
          <w:sz w:val="32"/>
          <w:szCs w:val="32"/>
          <w:highlight w:val="none"/>
          <w:lang w:val="en-US" w:eastAsia="zh-CN"/>
        </w:rPr>
        <w:t>21</w:t>
      </w:r>
      <w:r>
        <w:rPr>
          <w:rFonts w:hint="eastAsia" w:ascii="仿宋_GB2312" w:hAnsi="宋体" w:eastAsia="仿宋_GB2312" w:cs="宋体"/>
          <w:color w:val="auto"/>
          <w:kern w:val="0"/>
          <w:sz w:val="32"/>
          <w:szCs w:val="32"/>
          <w:highlight w:val="none"/>
        </w:rPr>
        <w:t>〕</w:t>
      </w:r>
      <w:r>
        <w:rPr>
          <w:rFonts w:hint="eastAsia" w:ascii="仿宋_GB2312" w:hAnsi="宋体" w:eastAsia="仿宋_GB2312" w:cs="宋体"/>
          <w:color w:val="auto"/>
          <w:kern w:val="0"/>
          <w:sz w:val="32"/>
          <w:szCs w:val="32"/>
          <w:highlight w:val="none"/>
          <w:lang w:val="en-US" w:eastAsia="zh-CN"/>
        </w:rPr>
        <w:t>35</w:t>
      </w:r>
      <w:r>
        <w:rPr>
          <w:rFonts w:hint="eastAsia" w:ascii="仿宋_GB2312" w:hAnsi="宋体" w:eastAsia="仿宋_GB2312" w:cs="宋体"/>
          <w:color w:val="auto"/>
          <w:kern w:val="0"/>
          <w:sz w:val="32"/>
          <w:szCs w:val="32"/>
          <w:highlight w:val="none"/>
        </w:rPr>
        <w:t>号</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default"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当事人名称：深圳市天祺建设工程有限公司</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 xml:space="preserve">法定代表人：田国喜 </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统一社会信用代码：91440300MA5FYC0WXW</w:t>
      </w:r>
    </w:p>
    <w:p>
      <w:pPr>
        <w:keepNext w:val="0"/>
        <w:keepLines w:val="0"/>
        <w:pageBreakBefore w:val="0"/>
        <w:widowControl w:val="0"/>
        <w:shd w:val="solid" w:color="FFFFFF" w:fill="auto"/>
        <w:kinsoku/>
        <w:wordWrap/>
        <w:overflowPunct/>
        <w:topLinePunct w:val="0"/>
        <w:autoSpaceDE/>
        <w:autoSpaceDN w:val="0"/>
        <w:bidi w:val="0"/>
        <w:adjustRightInd/>
        <w:snapToGrid/>
        <w:spacing w:line="560" w:lineRule="exact"/>
        <w:ind w:firstLine="640" w:firstLineChars="200"/>
        <w:textAlignment w:val="auto"/>
        <w:rPr>
          <w:rFonts w:hint="eastAsia" w:ascii="仿宋_GB2312" w:hAnsi="仿宋_GB2312" w:eastAsia="仿宋_GB2312"/>
          <w:color w:val="000000"/>
          <w:sz w:val="32"/>
          <w:szCs w:val="32"/>
          <w:highlight w:val="none"/>
          <w:u w:val="none" w:color="auto"/>
          <w:lang w:val="en-US" w:eastAsia="zh-CN"/>
        </w:rPr>
      </w:pPr>
      <w:r>
        <w:rPr>
          <w:rFonts w:hint="eastAsia" w:ascii="仿宋_GB2312" w:hAnsi="仿宋_GB2312" w:eastAsia="仿宋_GB2312"/>
          <w:color w:val="000000"/>
          <w:sz w:val="32"/>
          <w:szCs w:val="32"/>
          <w:highlight w:val="none"/>
          <w:u w:val="none" w:color="auto"/>
          <w:lang w:val="en-US" w:eastAsia="zh-CN"/>
        </w:rPr>
        <w:t>住所：深圳市龙华区观澜街道广培社区高尔夫大道8号14栋601</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我局执法人员于</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 xml:space="preserve">日对你单位进行了调查，发现你单位实施了以下环境违法行为：                                                                                 </w:t>
      </w:r>
    </w:p>
    <w:p>
      <w:pPr>
        <w:keepNext w:val="0"/>
        <w:keepLines w:val="0"/>
        <w:pageBreakBefore w:val="0"/>
        <w:kinsoku/>
        <w:wordWrap/>
        <w:overflowPunct/>
        <w:topLinePunct w:val="0"/>
        <w:autoSpaceDE w:val="0"/>
        <w:autoSpaceDN w:val="0"/>
        <w:bidi w:val="0"/>
        <w:adjustRightInd w:val="0"/>
        <w:snapToGrid/>
        <w:spacing w:line="560" w:lineRule="exact"/>
        <w:textAlignment w:val="auto"/>
        <w:rPr>
          <w:rFonts w:hint="eastAsia" w:ascii="仿宋_GB2312" w:hAnsi="宋体" w:eastAsia="仿宋_GB2312" w:cs="宋体"/>
          <w:color w:val="auto"/>
          <w:kern w:val="0"/>
          <w:sz w:val="32"/>
          <w:szCs w:val="32"/>
          <w:highlight w:val="none"/>
          <w:u w:val="single"/>
        </w:rPr>
      </w:pP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rPr>
        <w:t xml:space="preserve">   </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 xml:space="preserve">2021 </w:t>
      </w:r>
      <w:r>
        <w:rPr>
          <w:rFonts w:hint="eastAsia" w:ascii="仿宋_GB2312" w:hAnsi="宋体" w:eastAsia="仿宋_GB2312" w:cs="宋体"/>
          <w:color w:val="auto"/>
          <w:kern w:val="0"/>
          <w:sz w:val="32"/>
          <w:szCs w:val="32"/>
          <w:highlight w:val="none"/>
        </w:rPr>
        <w:t>年</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8</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月</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15</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00</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时</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single"/>
        </w:rPr>
        <w:t>32</w:t>
      </w:r>
      <w:r>
        <w:rPr>
          <w:rFonts w:hint="eastAsia" w:ascii="仿宋_GB2312" w:hAnsi="宋体" w:eastAsia="仿宋_GB2312" w:cs="宋体"/>
          <w:color w:val="auto"/>
          <w:kern w:val="0"/>
          <w:sz w:val="32"/>
          <w:szCs w:val="32"/>
          <w:highlight w:val="none"/>
          <w:u w:val="single"/>
          <w:lang w:val="en-US" w:eastAsia="zh-CN"/>
        </w:rPr>
        <w:t xml:space="preserve"> </w:t>
      </w:r>
      <w:r>
        <w:rPr>
          <w:rFonts w:hint="eastAsia" w:ascii="仿宋_GB2312" w:hAnsi="宋体" w:eastAsia="仿宋_GB2312" w:cs="宋体"/>
          <w:color w:val="auto"/>
          <w:kern w:val="0"/>
          <w:sz w:val="32"/>
          <w:szCs w:val="32"/>
          <w:highlight w:val="none"/>
          <w:u w:val="none"/>
        </w:rPr>
        <w:t>分，接市民投诉我局执法人员来到位于深圳市盐田区田中路2008号的田东中学教学楼拆除重建工程</w:t>
      </w:r>
      <w:bookmarkStart w:id="0" w:name="_GoBack"/>
      <w:bookmarkEnd w:id="0"/>
      <w:r>
        <w:rPr>
          <w:rFonts w:hint="eastAsia" w:ascii="仿宋_GB2312" w:hAnsi="宋体" w:eastAsia="仿宋_GB2312" w:cs="宋体"/>
          <w:color w:val="auto"/>
          <w:kern w:val="0"/>
          <w:sz w:val="32"/>
          <w:szCs w:val="32"/>
          <w:highlight w:val="none"/>
          <w:u w:val="none"/>
        </w:rPr>
        <w:t>进行检查，发现该工地有一台天泵，一台地泵，六台混凝土搅拌车正在进行混凝土浇筑作业，未取得夜间施工作业证明，产生噪声影响周边环境。</w:t>
      </w:r>
      <w:r>
        <w:rPr>
          <w:rFonts w:hint="eastAsia" w:ascii="仿宋_GB2312" w:hAnsi="宋体" w:eastAsia="仿宋_GB2312" w:cs="宋体"/>
          <w:color w:val="auto"/>
          <w:kern w:val="0"/>
          <w:sz w:val="32"/>
          <w:szCs w:val="32"/>
          <w:highlight w:val="none"/>
          <w:u w:val="none"/>
          <w:lang w:val="en-US" w:eastAsia="zh-CN"/>
        </w:rPr>
        <w:t>你单位上述行为存在未取得中午或夜间作业证明进行施工的违法行为。</w:t>
      </w:r>
      <w:r>
        <w:rPr>
          <w:rFonts w:hint="eastAsia" w:ascii="仿宋_GB2312" w:hAnsi="宋体" w:eastAsia="仿宋_GB2312" w:cs="宋体"/>
          <w:color w:val="auto"/>
          <w:kern w:val="0"/>
          <w:sz w:val="32"/>
          <w:szCs w:val="32"/>
          <w:highlight w:val="none"/>
          <w:u w:val="none"/>
        </w:rPr>
        <w:t xml:space="preserve">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以上事实，有现场检查</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勘验</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笔录、现场照片</w:t>
      </w:r>
      <w:r>
        <w:rPr>
          <w:rFonts w:hint="eastAsia" w:ascii="仿宋_GB2312" w:hAnsi="宋体" w:eastAsia="仿宋_GB2312" w:cs="宋体"/>
          <w:color w:val="auto"/>
          <w:kern w:val="0"/>
          <w:sz w:val="32"/>
          <w:szCs w:val="32"/>
          <w:highlight w:val="none"/>
          <w:lang w:eastAsia="zh-CN"/>
        </w:rPr>
        <w:t>证据</w:t>
      </w:r>
      <w:r>
        <w:rPr>
          <w:rFonts w:hint="eastAsia" w:ascii="仿宋_GB2312" w:hAnsi="宋体" w:eastAsia="仿宋_GB2312" w:cs="宋体"/>
          <w:color w:val="auto"/>
          <w:kern w:val="0"/>
          <w:sz w:val="32"/>
          <w:szCs w:val="32"/>
          <w:highlight w:val="none"/>
        </w:rPr>
        <w:t>共</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val="en-US" w:eastAsia="zh-CN"/>
        </w:rPr>
        <w:t>2</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份证据为凭。</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你单位上述行为违反了</w:t>
      </w:r>
      <w:r>
        <w:rPr>
          <w:rFonts w:hint="eastAsia" w:ascii="仿宋_GB2312" w:hAnsi="宋体" w:eastAsia="仿宋_GB2312" w:cs="宋体"/>
          <w:color w:val="auto"/>
          <w:kern w:val="0"/>
          <w:sz w:val="32"/>
          <w:szCs w:val="32"/>
          <w:highlight w:val="none"/>
          <w:u w:val="single"/>
        </w:rPr>
        <w:t>《深圳经济特区环境噪声污染防治条例（2020年修正版）》第二十</w:t>
      </w:r>
      <w:r>
        <w:rPr>
          <w:rFonts w:hint="eastAsia" w:ascii="仿宋_GB2312" w:hAnsi="宋体" w:eastAsia="仿宋_GB2312" w:cs="宋体"/>
          <w:color w:val="auto"/>
          <w:kern w:val="0"/>
          <w:sz w:val="32"/>
          <w:szCs w:val="32"/>
          <w:highlight w:val="none"/>
          <w:u w:val="single"/>
          <w:lang w:eastAsia="zh-CN"/>
        </w:rPr>
        <w:t>九</w:t>
      </w:r>
      <w:r>
        <w:rPr>
          <w:rFonts w:hint="eastAsia" w:ascii="仿宋_GB2312" w:hAnsi="宋体" w:eastAsia="仿宋_GB2312" w:cs="宋体"/>
          <w:color w:val="auto"/>
          <w:kern w:val="0"/>
          <w:sz w:val="32"/>
          <w:szCs w:val="32"/>
          <w:highlight w:val="none"/>
          <w:u w:val="single"/>
        </w:rPr>
        <w:t>条</w:t>
      </w:r>
      <w:r>
        <w:rPr>
          <w:rFonts w:hint="eastAsia" w:ascii="仿宋_GB2312" w:hAnsi="宋体" w:eastAsia="仿宋_GB2312" w:cs="宋体"/>
          <w:color w:val="auto"/>
          <w:kern w:val="0"/>
          <w:sz w:val="32"/>
          <w:szCs w:val="32"/>
          <w:highlight w:val="none"/>
          <w:u w:val="single"/>
          <w:lang w:eastAsia="zh-CN"/>
        </w:rPr>
        <w:t>第一款</w:t>
      </w:r>
      <w:r>
        <w:rPr>
          <w:rFonts w:hint="eastAsia" w:ascii="仿宋_GB2312" w:hAnsi="宋体" w:eastAsia="仿宋_GB2312" w:cs="宋体"/>
          <w:color w:val="auto"/>
          <w:kern w:val="0"/>
          <w:sz w:val="32"/>
          <w:szCs w:val="32"/>
          <w:highlight w:val="none"/>
        </w:rPr>
        <w:t xml:space="preserve">的规定。 </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 xml:space="preserve">依据 </w:t>
      </w:r>
      <w:r>
        <w:rPr>
          <w:rFonts w:hint="eastAsia" w:ascii="仿宋_GB2312" w:hAnsi="宋体" w:eastAsia="仿宋_GB2312" w:cs="宋体"/>
          <w:color w:val="auto"/>
          <w:kern w:val="0"/>
          <w:sz w:val="32"/>
          <w:szCs w:val="32"/>
          <w:highlight w:val="none"/>
          <w:lang w:val="en-US" w:eastAsia="zh-CN"/>
        </w:rPr>
        <w:t>《深圳经济特区环境噪声污染防治条例（2020年修正版）》第七十七条第一款第（四）项</w:t>
      </w:r>
      <w:r>
        <w:rPr>
          <w:rFonts w:hint="eastAsia" w:ascii="仿宋_GB2312" w:hAnsi="宋体" w:eastAsia="仿宋_GB2312" w:cs="宋体"/>
          <w:color w:val="auto"/>
          <w:kern w:val="0"/>
          <w:sz w:val="32"/>
          <w:szCs w:val="32"/>
          <w:highlight w:val="none"/>
        </w:rPr>
        <w:t>的规定。</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现责令你单位</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立即□接到本决定书之日起</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rPr>
        <w:t>日内□停止违法排放污染物的行为□停止建设□改正超标准排放污染物的行为</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u w:val="single"/>
        </w:rPr>
        <w:t xml:space="preserve"> </w:t>
      </w:r>
      <w:r>
        <w:rPr>
          <w:rFonts w:hint="eastAsia" w:ascii="仿宋_GB2312" w:hAnsi="宋体" w:eastAsia="仿宋_GB2312" w:cs="宋体"/>
          <w:color w:val="auto"/>
          <w:kern w:val="0"/>
          <w:sz w:val="32"/>
          <w:szCs w:val="32"/>
          <w:highlight w:val="none"/>
          <w:u w:val="single"/>
          <w:lang w:eastAsia="zh-CN"/>
        </w:rPr>
        <w:t>停止未取得中午或夜间作业证明进行施工的违法行为。</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如上述违法行为属于应依法直接给予行政处罚的情形，则对该行为的处罚不以整改结果为前提条件。</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我局将自</w:t>
      </w:r>
      <w:r>
        <w:rPr>
          <w:rFonts w:hint="eastAsia" w:ascii="仿宋_GB2312" w:hAnsi="宋体" w:eastAsia="仿宋_GB2312" w:cs="宋体"/>
          <w:color w:val="auto"/>
          <w:kern w:val="0"/>
          <w:sz w:val="32"/>
          <w:szCs w:val="32"/>
          <w:highlight w:val="none"/>
          <w:lang w:eastAsia="zh-CN"/>
        </w:rPr>
        <w:t>☑</w:t>
      </w:r>
      <w:r>
        <w:rPr>
          <w:rFonts w:hint="eastAsia" w:ascii="仿宋_GB2312" w:hAnsi="宋体" w:eastAsia="仿宋_GB2312" w:cs="宋体"/>
          <w:color w:val="auto"/>
          <w:kern w:val="0"/>
          <w:sz w:val="32"/>
          <w:szCs w:val="32"/>
          <w:highlight w:val="none"/>
        </w:rPr>
        <w:t>本决定书送达之日起三十日内□责令改正期限届满三十日内对你单位违法行为的改正情况实施复查。若复查时发现你单位拒不改正的，我局可根据违法行为依法采取法律赋予生态环境部门的监管措施：1.依据国家、省和特区相关环保法律法规规章的规定，对你单位实施按日连续处罚；2.依据《中华人民共和国环境保护法》六十三条的规定，将案件移送公安机关，对直接负责的主管人员和其他直接责任人员予以行政拘留；3.依法采取法律法规规定的其他措施。</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你单位在我局实施复查前，可以向我局报告整改情况，并附具相关证明材料。</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rPr>
      </w:pPr>
      <w:r>
        <w:rPr>
          <w:rFonts w:hint="eastAsia" w:ascii="仿宋_GB2312" w:hAnsi="宋体" w:eastAsia="仿宋_GB2312" w:cs="宋体"/>
          <w:color w:val="auto"/>
          <w:kern w:val="0"/>
          <w:sz w:val="32"/>
          <w:szCs w:val="32"/>
          <w:highlight w:val="none"/>
        </w:rPr>
        <w:t>你单位如对本决定不服，可以在收到本决定书之日起六十日内向深圳市人民政府</w:t>
      </w:r>
      <w:r>
        <w:rPr>
          <w:rFonts w:hint="eastAsia" w:ascii="仿宋_GB2312" w:hAnsi="宋体" w:eastAsia="仿宋_GB2312" w:cs="宋体"/>
          <w:color w:val="auto"/>
          <w:kern w:val="0"/>
          <w:sz w:val="32"/>
          <w:szCs w:val="32"/>
          <w:highlight w:val="none"/>
          <w:lang w:val="en-US" w:eastAsia="zh-CN"/>
        </w:rPr>
        <w:t>或深圳市盐田区人民政府</w:t>
      </w:r>
      <w:r>
        <w:rPr>
          <w:rFonts w:hint="eastAsia" w:ascii="仿宋_GB2312" w:hAnsi="宋体" w:eastAsia="仿宋_GB2312" w:cs="宋体"/>
          <w:color w:val="auto"/>
          <w:kern w:val="0"/>
          <w:sz w:val="32"/>
          <w:szCs w:val="32"/>
          <w:highlight w:val="none"/>
        </w:rPr>
        <w:t>申请行政复议；也可以在收到本决定书之日起六个月内向广东省深圳市龙岗区人民法院提起行政诉讼。</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 xml:space="preserve">联系人： 陈锡江  </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 xml:space="preserve">电话： </w:t>
      </w:r>
      <w:r>
        <w:rPr>
          <w:rFonts w:hint="eastAsia" w:ascii="仿宋_GB2312" w:hAnsi="宋体" w:eastAsia="仿宋_GB2312" w:cs="宋体"/>
          <w:color w:val="auto"/>
          <w:kern w:val="0"/>
          <w:sz w:val="32"/>
          <w:szCs w:val="32"/>
          <w:highlight w:val="none"/>
          <w:u w:val="none"/>
          <w:lang w:val="en-US" w:eastAsia="zh-CN"/>
        </w:rPr>
        <w:t>0755-</w:t>
      </w:r>
      <w:r>
        <w:rPr>
          <w:rFonts w:hint="eastAsia" w:ascii="仿宋_GB2312" w:hAnsi="宋体" w:eastAsia="仿宋_GB2312" w:cs="宋体"/>
          <w:color w:val="auto"/>
          <w:kern w:val="0"/>
          <w:sz w:val="32"/>
          <w:szCs w:val="32"/>
          <w:highlight w:val="none"/>
          <w:u w:val="none"/>
          <w:lang w:val="zh-CN"/>
        </w:rPr>
        <w:t>22351066</w:t>
      </w:r>
    </w:p>
    <w:p>
      <w:pPr>
        <w:keepNext w:val="0"/>
        <w:keepLines w:val="0"/>
        <w:pageBreakBefore w:val="0"/>
        <w:kinsoku/>
        <w:wordWrap/>
        <w:overflowPunct/>
        <w:topLinePunct w:val="0"/>
        <w:autoSpaceDE w:val="0"/>
        <w:autoSpaceDN w:val="0"/>
        <w:bidi w:val="0"/>
        <w:adjustRightInd w:val="0"/>
        <w:snapToGrid/>
        <w:spacing w:line="560" w:lineRule="exact"/>
        <w:ind w:firstLine="640" w:firstLineChars="200"/>
        <w:textAlignment w:val="auto"/>
        <w:rPr>
          <w:rFonts w:hint="eastAsia" w:ascii="仿宋_GB2312" w:hAnsi="宋体" w:eastAsia="仿宋_GB2312" w:cs="宋体"/>
          <w:color w:val="auto"/>
          <w:kern w:val="0"/>
          <w:sz w:val="32"/>
          <w:szCs w:val="32"/>
          <w:highlight w:val="none"/>
          <w:u w:val="none"/>
          <w:lang w:val="zh-CN"/>
        </w:rPr>
      </w:pPr>
      <w:r>
        <w:rPr>
          <w:rFonts w:hint="eastAsia" w:ascii="仿宋_GB2312" w:hAnsi="宋体" w:eastAsia="仿宋_GB2312" w:cs="宋体"/>
          <w:color w:val="auto"/>
          <w:kern w:val="0"/>
          <w:sz w:val="32"/>
          <w:szCs w:val="32"/>
          <w:highlight w:val="none"/>
          <w:u w:val="none"/>
          <w:lang w:val="zh-CN"/>
        </w:rPr>
        <w:t>地</w:t>
      </w:r>
      <w:r>
        <w:rPr>
          <w:rFonts w:hint="eastAsia" w:ascii="仿宋_GB2312" w:hAnsi="宋体" w:eastAsia="仿宋_GB2312" w:cs="宋体"/>
          <w:color w:val="auto"/>
          <w:kern w:val="0"/>
          <w:sz w:val="32"/>
          <w:szCs w:val="32"/>
          <w:highlight w:val="none"/>
          <w:u w:val="none"/>
          <w:lang w:val="en-US" w:eastAsia="zh-CN"/>
        </w:rPr>
        <w:t xml:space="preserve">  </w:t>
      </w:r>
      <w:r>
        <w:rPr>
          <w:rFonts w:hint="eastAsia" w:ascii="仿宋_GB2312" w:hAnsi="宋体" w:eastAsia="仿宋_GB2312" w:cs="宋体"/>
          <w:color w:val="auto"/>
          <w:kern w:val="0"/>
          <w:sz w:val="32"/>
          <w:szCs w:val="32"/>
          <w:highlight w:val="none"/>
          <w:u w:val="none"/>
          <w:lang w:val="zh-CN"/>
        </w:rPr>
        <w:t>址： 盐田区香径南街盐田区</w:t>
      </w:r>
      <w:r>
        <w:rPr>
          <w:rFonts w:hint="eastAsia" w:ascii="仿宋_GB2312" w:hAnsi="宋体" w:eastAsia="仿宋_GB2312" w:cs="宋体"/>
          <w:color w:val="auto"/>
          <w:kern w:val="0"/>
          <w:sz w:val="32"/>
          <w:szCs w:val="32"/>
          <w:highlight w:val="none"/>
          <w:u w:val="none"/>
          <w:lang w:val="zh-CN" w:eastAsia="zh-CN"/>
        </w:rPr>
        <w:t>文化</w:t>
      </w:r>
      <w:r>
        <w:rPr>
          <w:rFonts w:hint="eastAsia" w:ascii="仿宋_GB2312" w:hAnsi="宋体" w:eastAsia="仿宋_GB2312" w:cs="宋体"/>
          <w:color w:val="auto"/>
          <w:kern w:val="0"/>
          <w:sz w:val="32"/>
          <w:szCs w:val="32"/>
          <w:highlight w:val="none"/>
          <w:u w:val="none"/>
          <w:lang w:val="zh-CN"/>
        </w:rPr>
        <w:t>馆</w:t>
      </w:r>
      <w:r>
        <w:rPr>
          <w:rFonts w:hint="eastAsia" w:ascii="仿宋_GB2312" w:hAnsi="宋体" w:eastAsia="仿宋_GB2312" w:cs="宋体"/>
          <w:color w:val="auto"/>
          <w:kern w:val="0"/>
          <w:sz w:val="32"/>
          <w:szCs w:val="32"/>
          <w:highlight w:val="none"/>
          <w:u w:val="none"/>
          <w:lang w:val="zh-CN" w:eastAsia="zh-CN"/>
        </w:rPr>
        <w:t>四楼</w:t>
      </w:r>
    </w:p>
    <w:p>
      <w:pPr>
        <w:pStyle w:val="2"/>
        <w:keepNext w:val="0"/>
        <w:keepLines w:val="0"/>
        <w:pageBreakBefore w:val="0"/>
        <w:kinsoku/>
        <w:wordWrap/>
        <w:overflowPunct/>
        <w:topLinePunct w:val="0"/>
        <w:bidi w:val="0"/>
        <w:snapToGrid/>
        <w:spacing w:line="560" w:lineRule="exact"/>
        <w:textAlignment w:val="auto"/>
        <w:rPr>
          <w:rFonts w:hint="eastAsia"/>
          <w:lang w:val="zh-CN"/>
        </w:rPr>
      </w:pPr>
    </w:p>
    <w:p>
      <w:pPr>
        <w:pStyle w:val="2"/>
        <w:keepNext w:val="0"/>
        <w:keepLines w:val="0"/>
        <w:pageBreakBefore w:val="0"/>
        <w:kinsoku/>
        <w:wordWrap/>
        <w:overflowPunct/>
        <w:topLinePunct w:val="0"/>
        <w:bidi w:val="0"/>
        <w:snapToGrid/>
        <w:spacing w:line="560" w:lineRule="exact"/>
        <w:textAlignment w:val="auto"/>
        <w:rPr>
          <w:rFonts w:hint="eastAsia"/>
          <w:lang w:val="zh-CN"/>
        </w:rPr>
      </w:pPr>
    </w:p>
    <w:p>
      <w:pPr>
        <w:pStyle w:val="7"/>
        <w:keepNext w:val="0"/>
        <w:keepLines w:val="0"/>
        <w:pageBreakBefore w:val="0"/>
        <w:kinsoku/>
        <w:wordWrap/>
        <w:overflowPunct/>
        <w:topLinePunct w:val="0"/>
        <w:bidi w:val="0"/>
        <w:snapToGrid/>
        <w:spacing w:line="560" w:lineRule="exact"/>
        <w:ind w:firstLine="729" w:firstLineChars="228"/>
        <w:jc w:val="right"/>
        <w:textAlignment w:val="auto"/>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深圳市生态环境局盐田管理局</w:t>
      </w:r>
      <w:r>
        <w:rPr>
          <w:rFonts w:hint="eastAsia" w:ascii="仿宋_GB2312" w:eastAsia="仿宋_GB2312"/>
          <w:color w:val="auto"/>
          <w:sz w:val="32"/>
          <w:szCs w:val="32"/>
          <w:highlight w:val="none"/>
        </w:rPr>
        <w:t xml:space="preserve">   </w:t>
      </w:r>
    </w:p>
    <w:p>
      <w:pPr>
        <w:keepNext w:val="0"/>
        <w:keepLines w:val="0"/>
        <w:pageBreakBefore w:val="0"/>
        <w:widowControl/>
        <w:kinsoku/>
        <w:wordWrap/>
        <w:overflowPunct/>
        <w:topLinePunct w:val="0"/>
        <w:bidi w:val="0"/>
        <w:snapToGrid/>
        <w:spacing w:line="560" w:lineRule="exact"/>
        <w:jc w:val="center"/>
        <w:textAlignment w:val="auto"/>
        <w:rPr>
          <w:rFonts w:ascii="仿宋_GB2312" w:hAnsi="宋体" w:eastAsia="仿宋_GB2312"/>
          <w:color w:val="auto"/>
          <w:sz w:val="32"/>
          <w:szCs w:val="32"/>
          <w:highlight w:val="none"/>
        </w:rPr>
      </w:pPr>
      <w:r>
        <w:rPr>
          <w:rFonts w:hint="eastAsia" w:ascii="仿宋_GB2312" w:eastAsia="仿宋_GB2312"/>
          <w:color w:val="auto"/>
          <w:sz w:val="32"/>
          <w:szCs w:val="32"/>
          <w:highlight w:val="none"/>
          <w:lang w:val="en-US" w:eastAsia="zh-CN"/>
        </w:rPr>
        <w:t xml:space="preserve">                             二〇二一年八月十五日</w:t>
      </w:r>
    </w:p>
    <w:p>
      <w:pPr>
        <w:keepNext w:val="0"/>
        <w:keepLines w:val="0"/>
        <w:pageBreakBefore w:val="0"/>
        <w:numPr>
          <w:ilvl w:val="0"/>
          <w:numId w:val="0"/>
        </w:numPr>
        <w:kinsoku/>
        <w:wordWrap/>
        <w:overflowPunct/>
        <w:topLinePunct w:val="0"/>
        <w:bidi w:val="0"/>
        <w:snapToGrid/>
        <w:spacing w:line="560" w:lineRule="exact"/>
        <w:textAlignment w:val="auto"/>
        <w:rPr>
          <w:rFonts w:hint="eastAsia" w:ascii="仿宋_GB2312" w:hAnsi="宋体" w:eastAsia="仿宋_GB2312"/>
          <w:sz w:val="24"/>
          <w:szCs w:val="24"/>
          <w:highlight w:val="none"/>
          <w:lang w:val="en-US" w:eastAsia="zh-CN"/>
        </w:rPr>
      </w:pPr>
    </w:p>
    <w:p>
      <w:pPr>
        <w:keepNext w:val="0"/>
        <w:keepLines w:val="0"/>
        <w:pageBreakBefore w:val="0"/>
        <w:numPr>
          <w:ilvl w:val="0"/>
          <w:numId w:val="0"/>
        </w:numPr>
        <w:kinsoku/>
        <w:wordWrap/>
        <w:overflowPunct/>
        <w:topLinePunct w:val="0"/>
        <w:bidi w:val="0"/>
        <w:snapToGrid/>
        <w:spacing w:line="560" w:lineRule="exact"/>
        <w:textAlignment w:val="auto"/>
        <w:rPr>
          <w:rFonts w:hint="eastAsia" w:ascii="仿宋_GB2312" w:hAnsi="宋体" w:eastAsia="仿宋_GB2312"/>
          <w:sz w:val="24"/>
          <w:szCs w:val="24"/>
          <w:highlight w:val="none"/>
          <w:lang w:val="en-US" w:eastAsia="zh-CN"/>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附</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zh-CN" w:eastAsia="zh-CN"/>
        </w:rPr>
      </w:pPr>
      <w:r>
        <w:rPr>
          <w:rFonts w:hint="eastAsia" w:ascii="仿宋_GB2312" w:hAnsi="宋体" w:eastAsia="仿宋_GB2312"/>
          <w:sz w:val="24"/>
          <w:szCs w:val="24"/>
          <w:highlight w:val="none"/>
          <w:lang w:val="en-US" w:eastAsia="zh-CN"/>
        </w:rPr>
        <w:t>1.《深圳经济特区环境噪声污染防治条例（2020年修正版）》</w:t>
      </w:r>
      <w:r>
        <w:rPr>
          <w:rFonts w:hint="eastAsia" w:ascii="仿宋_GB2312" w:hAnsi="宋体" w:eastAsia="仿宋_GB2312"/>
          <w:sz w:val="24"/>
          <w:szCs w:val="24"/>
          <w:highlight w:val="none"/>
          <w:lang w:val="zh-CN" w:eastAsia="zh-CN"/>
        </w:rPr>
        <w:t>第二十九条第一款</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具有本条例第二十八条第一款第一、二项情形之一的，施工单位应当在施工作业前五个工作日向工程所在地生态环境主管部门提出申请，并提交下列材料：</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（一）建设单位出具的项目证明材料；</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（二）工程监理单位出具的连续施工意见书；</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（三）特殊需要的证明材料；</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sz w:val="24"/>
          <w:szCs w:val="24"/>
          <w:highlight w:val="none"/>
          <w:lang w:val="en-US" w:eastAsia="zh-CN"/>
        </w:rPr>
      </w:pPr>
      <w:r>
        <w:rPr>
          <w:rFonts w:hint="eastAsia" w:ascii="仿宋_GB2312" w:hAnsi="宋体" w:eastAsia="仿宋_GB2312"/>
          <w:sz w:val="24"/>
          <w:szCs w:val="24"/>
          <w:highlight w:val="none"/>
          <w:lang w:val="en-US" w:eastAsia="zh-CN"/>
        </w:rPr>
        <w:t>（四）符合相关规范的施工现场环境噪声防治方案，包括作业时间、作业内容、作业方式以及环境噪声防治措施等。</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cs="Times New Roman"/>
          <w:kern w:val="2"/>
          <w:sz w:val="24"/>
          <w:szCs w:val="24"/>
          <w:highlight w:val="none"/>
          <w:lang w:val="zh-CN" w:eastAsia="zh-CN" w:bidi="ar-SA"/>
        </w:rPr>
      </w:pPr>
      <w:r>
        <w:rPr>
          <w:rFonts w:hint="eastAsia" w:ascii="仿宋_GB2312" w:hAnsi="宋体" w:eastAsia="仿宋_GB2312"/>
          <w:sz w:val="24"/>
          <w:szCs w:val="24"/>
          <w:highlight w:val="none"/>
          <w:lang w:val="en-US" w:eastAsia="zh-CN"/>
        </w:rPr>
        <w:t>2.《深圳经济特区环境噪声污染防治条例（2020年修正版）》</w:t>
      </w:r>
      <w:r>
        <w:rPr>
          <w:rFonts w:hint="eastAsia" w:ascii="仿宋_GB2312" w:hAnsi="宋体" w:eastAsia="仿宋_GB2312" w:cs="Times New Roman"/>
          <w:kern w:val="2"/>
          <w:sz w:val="24"/>
          <w:szCs w:val="24"/>
          <w:highlight w:val="none"/>
          <w:lang w:val="zh-CN" w:eastAsia="zh-CN" w:bidi="ar-SA"/>
        </w:rPr>
        <w:t>第七十七条，第（四）款</w:t>
      </w:r>
    </w:p>
    <w:p>
      <w:pPr>
        <w:keepNext w:val="0"/>
        <w:keepLines w:val="0"/>
        <w:pageBreakBefore w:val="0"/>
        <w:numPr>
          <w:ilvl w:val="0"/>
          <w:numId w:val="0"/>
        </w:numPr>
        <w:kinsoku/>
        <w:wordWrap/>
        <w:overflowPunct/>
        <w:topLinePunct w:val="0"/>
        <w:bidi w:val="0"/>
        <w:snapToGrid/>
        <w:spacing w:line="240" w:lineRule="auto"/>
        <w:textAlignment w:val="auto"/>
        <w:rPr>
          <w:rFonts w:hint="eastAsia" w:ascii="仿宋_GB2312" w:hAnsi="宋体" w:eastAsia="仿宋_GB2312" w:cs="Times New Roman"/>
          <w:sz w:val="24"/>
          <w:szCs w:val="24"/>
          <w:highlight w:val="none"/>
          <w:lang w:val="zh-CN" w:eastAsia="zh-CN"/>
        </w:rPr>
      </w:pPr>
      <w:r>
        <w:rPr>
          <w:rFonts w:hint="eastAsia" w:ascii="仿宋_GB2312" w:hAnsi="宋体" w:eastAsia="仿宋_GB2312" w:cs="Times New Roman"/>
          <w:sz w:val="24"/>
          <w:szCs w:val="24"/>
          <w:highlight w:val="none"/>
          <w:lang w:val="zh-CN" w:eastAsia="zh-CN"/>
        </w:rPr>
        <w:t>违反本条例规定，有下列行为之一的，由生态环境主管部门责令改正，并按照下列规定予以处罚：</w:t>
      </w:r>
    </w:p>
    <w:p>
      <w:pPr>
        <w:keepNext w:val="0"/>
        <w:keepLines w:val="0"/>
        <w:pageBreakBefore w:val="0"/>
        <w:kinsoku/>
        <w:wordWrap/>
        <w:overflowPunct/>
        <w:topLinePunct w:val="0"/>
        <w:bidi w:val="0"/>
        <w:snapToGrid/>
        <w:spacing w:line="240" w:lineRule="auto"/>
        <w:textAlignment w:val="auto"/>
        <w:rPr>
          <w:rFonts w:hint="eastAsia" w:ascii="黑体" w:hAnsi="黑体" w:eastAsia="黑体"/>
          <w:b w:val="0"/>
          <w:bCs/>
          <w:sz w:val="36"/>
          <w:szCs w:val="36"/>
        </w:rPr>
      </w:pPr>
      <w:r>
        <w:rPr>
          <w:rFonts w:hint="eastAsia" w:ascii="仿宋_GB2312" w:hAnsi="宋体" w:eastAsia="仿宋_GB2312"/>
          <w:sz w:val="24"/>
          <w:szCs w:val="24"/>
          <w:highlight w:val="none"/>
          <w:lang w:val="zh-CN" w:eastAsia="zh-CN"/>
        </w:rPr>
        <w:t>（四）违反本条例第二十七条、第二十九条规定，未按照要求采取噪声防治措施的，或者未取得中午或者夜间作业证明的，或者未按照中午或者夜间作业证明的要求进行施工的，处三万元罚款；</w:t>
      </w: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pPr>
    </w:p>
    <w:p>
      <w:pPr>
        <w:pStyle w:val="2"/>
        <w:ind w:left="0" w:leftChars="0" w:firstLine="0" w:firstLineChars="0"/>
        <w:rPr>
          <w:rFonts w:hint="eastAsia" w:ascii="黑体" w:hAnsi="黑体" w:eastAsia="黑体"/>
          <w:b w:val="0"/>
          <w:bCs/>
          <w:sz w:val="36"/>
          <w:szCs w:val="36"/>
        </w:rPr>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pPr>
    </w:p>
    <w:p>
      <w:pPr>
        <w:tabs>
          <w:tab w:val="left" w:pos="300"/>
          <w:tab w:val="center" w:pos="4365"/>
          <w:tab w:val="left" w:pos="6345"/>
        </w:tabs>
        <w:spacing w:line="560" w:lineRule="exact"/>
        <w:jc w:val="center"/>
        <w:rPr>
          <w:rFonts w:hint="eastAsia" w:ascii="方正小标宋简体" w:hAnsi="宋体" w:eastAsia="方正小标宋简体"/>
          <w:color w:val="auto"/>
          <w:sz w:val="44"/>
          <w:szCs w:val="44"/>
          <w:highlight w:val="none"/>
          <w:lang w:eastAsia="zh-CN"/>
        </w:rPr>
      </w:pPr>
      <w:r>
        <w:rPr>
          <w:rFonts w:hint="eastAsia" w:ascii="方正小标宋简体" w:hAnsi="宋体" w:eastAsia="方正小标宋简体"/>
          <w:color w:val="auto"/>
          <w:sz w:val="44"/>
          <w:szCs w:val="44"/>
          <w:highlight w:val="none"/>
          <w:lang w:eastAsia="zh-CN"/>
        </w:rPr>
        <w:t>深圳市生态环境局盐田管理局</w:t>
      </w:r>
    </w:p>
    <w:p>
      <w:pPr>
        <w:tabs>
          <w:tab w:val="left" w:pos="300"/>
          <w:tab w:val="center" w:pos="4365"/>
          <w:tab w:val="left" w:pos="6345"/>
        </w:tabs>
        <w:spacing w:line="560" w:lineRule="exact"/>
        <w:jc w:val="center"/>
        <w:rPr>
          <w:rFonts w:ascii="方正小标宋简体" w:hAnsi="宋体" w:eastAsia="方正小标宋简体"/>
          <w:color w:val="auto"/>
          <w:sz w:val="44"/>
          <w:szCs w:val="44"/>
          <w:highlight w:val="none"/>
        </w:rPr>
      </w:pPr>
      <w:r>
        <w:rPr>
          <w:rFonts w:hint="eastAsia" w:ascii="方正小标宋简体" w:hAnsi="宋体" w:eastAsia="方正小标宋简体"/>
          <w:color w:val="auto"/>
          <w:sz w:val="44"/>
          <w:szCs w:val="44"/>
          <w:highlight w:val="none"/>
        </w:rPr>
        <w:t>送达回证</w:t>
      </w:r>
    </w:p>
    <w:p>
      <w:pPr>
        <w:tabs>
          <w:tab w:val="left" w:pos="300"/>
          <w:tab w:val="center" w:pos="4365"/>
          <w:tab w:val="left" w:pos="6345"/>
        </w:tabs>
        <w:spacing w:line="180" w:lineRule="exact"/>
        <w:jc w:val="center"/>
        <w:rPr>
          <w:rFonts w:ascii="仿宋_GB2312" w:eastAsia="仿宋_GB2312"/>
          <w:b/>
          <w:color w:val="auto"/>
          <w:sz w:val="36"/>
          <w:highlight w:val="none"/>
          <w:u w:val="single"/>
        </w:rPr>
      </w:pPr>
    </w:p>
    <w:tbl>
      <w:tblPr>
        <w:tblStyle w:val="9"/>
        <w:tblW w:w="0" w:type="auto"/>
        <w:jc w:val="center"/>
        <w:tblLayout w:type="fixed"/>
        <w:tblCellMar>
          <w:top w:w="0" w:type="dxa"/>
          <w:left w:w="108" w:type="dxa"/>
          <w:bottom w:w="0" w:type="dxa"/>
          <w:right w:w="108" w:type="dxa"/>
        </w:tblCellMar>
      </w:tblPr>
      <w:tblGrid>
        <w:gridCol w:w="1951"/>
        <w:gridCol w:w="6769"/>
      </w:tblGrid>
      <w:tr>
        <w:tblPrEx>
          <w:tblCellMar>
            <w:top w:w="0" w:type="dxa"/>
            <w:left w:w="108" w:type="dxa"/>
            <w:bottom w:w="0" w:type="dxa"/>
            <w:right w:w="108" w:type="dxa"/>
          </w:tblCellMar>
        </w:tblPrEx>
        <w:trPr>
          <w:trHeight w:val="1268"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送达文书名称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及文号</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hint="eastAsia" w:ascii="仿宋_GB2312" w:hAnsi="宋体" w:eastAsia="仿宋_GB2312"/>
                <w:color w:val="auto"/>
                <w:sz w:val="28"/>
                <w:szCs w:val="28"/>
                <w:highlight w:val="none"/>
                <w:lang w:val="en-US" w:eastAsia="zh-CN"/>
              </w:rPr>
            </w:pPr>
            <w:r>
              <w:rPr>
                <w:rFonts w:hint="eastAsia" w:ascii="仿宋_GB2312" w:hAnsi="宋体" w:eastAsia="仿宋_GB2312"/>
                <w:color w:val="auto"/>
                <w:sz w:val="28"/>
                <w:szCs w:val="28"/>
                <w:highlight w:val="none"/>
              </w:rPr>
              <w:t>深圳市</w:t>
            </w:r>
            <w:r>
              <w:rPr>
                <w:rFonts w:hint="eastAsia" w:ascii="仿宋_GB2312" w:hAnsi="宋体" w:eastAsia="仿宋_GB2312"/>
                <w:color w:val="auto"/>
                <w:sz w:val="28"/>
                <w:szCs w:val="28"/>
                <w:highlight w:val="none"/>
                <w:lang w:val="en-US" w:eastAsia="zh-CN"/>
              </w:rPr>
              <w:t>生态环境局盐田管理局</w:t>
            </w:r>
          </w:p>
          <w:p>
            <w:pPr>
              <w:spacing w:line="300" w:lineRule="exact"/>
              <w:jc w:val="center"/>
              <w:rPr>
                <w:rFonts w:hint="eastAsia"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责令改正违法行为决定书</w:t>
            </w:r>
          </w:p>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eastAsia="zh-CN"/>
              </w:rPr>
              <w:t>（</w:t>
            </w:r>
            <w:r>
              <w:rPr>
                <w:rFonts w:hint="eastAsia" w:ascii="仿宋_GB2312" w:hAnsi="宋体" w:eastAsia="仿宋_GB2312"/>
                <w:color w:val="auto"/>
                <w:sz w:val="28"/>
                <w:szCs w:val="28"/>
                <w:highlight w:val="none"/>
              </w:rPr>
              <w:t>深环盐田责改字〔2021〕</w:t>
            </w:r>
            <w:r>
              <w:rPr>
                <w:rFonts w:hint="eastAsia" w:ascii="仿宋_GB2312" w:hAnsi="宋体" w:eastAsia="仿宋_GB2312"/>
                <w:color w:val="auto"/>
                <w:sz w:val="28"/>
                <w:szCs w:val="28"/>
                <w:highlight w:val="none"/>
                <w:lang w:val="en-US" w:eastAsia="zh-CN"/>
              </w:rPr>
              <w:t>35</w:t>
            </w:r>
            <w:r>
              <w:rPr>
                <w:rFonts w:hint="eastAsia" w:ascii="仿宋_GB2312" w:hAnsi="宋体" w:eastAsia="仿宋_GB2312"/>
                <w:color w:val="auto"/>
                <w:sz w:val="28"/>
                <w:szCs w:val="28"/>
                <w:highlight w:val="none"/>
              </w:rPr>
              <w:t>号</w:t>
            </w:r>
            <w:r>
              <w:rPr>
                <w:rFonts w:hint="eastAsia" w:ascii="仿宋_GB2312" w:hAnsi="宋体" w:eastAsia="仿宋_GB2312"/>
                <w:color w:val="auto"/>
                <w:sz w:val="28"/>
                <w:szCs w:val="28"/>
                <w:highlight w:val="none"/>
                <w:lang w:eastAsia="zh-CN"/>
              </w:rPr>
              <w:t>）</w:t>
            </w:r>
          </w:p>
        </w:tc>
      </w:tr>
      <w:tr>
        <w:tblPrEx>
          <w:tblCellMar>
            <w:top w:w="0" w:type="dxa"/>
            <w:left w:w="108" w:type="dxa"/>
            <w:bottom w:w="0" w:type="dxa"/>
            <w:right w:w="108" w:type="dxa"/>
          </w:tblCellMar>
        </w:tblPrEx>
        <w:trPr>
          <w:trHeight w:val="98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受送达人名称</w:t>
            </w:r>
          </w:p>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或姓名</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en-US" w:eastAsia="zh-CN"/>
              </w:rPr>
              <w:t>深圳市天祺建设工程有限公司</w:t>
            </w:r>
          </w:p>
        </w:tc>
      </w:tr>
      <w:tr>
        <w:tblPrEx>
          <w:tblCellMar>
            <w:top w:w="0" w:type="dxa"/>
            <w:left w:w="108" w:type="dxa"/>
            <w:bottom w:w="0" w:type="dxa"/>
            <w:right w:w="108" w:type="dxa"/>
          </w:tblCellMar>
        </w:tblPrEx>
        <w:trPr>
          <w:trHeight w:val="974"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地 点</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center"/>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lang w:val="zh-CN"/>
              </w:rPr>
              <w:t>盐田区香径南街盐田区</w:t>
            </w:r>
            <w:r>
              <w:rPr>
                <w:rFonts w:hint="eastAsia" w:ascii="仿宋_GB2312" w:hAnsi="宋体" w:eastAsia="仿宋_GB2312"/>
                <w:color w:val="auto"/>
                <w:sz w:val="28"/>
                <w:szCs w:val="28"/>
                <w:highlight w:val="none"/>
                <w:lang w:val="zh-CN" w:eastAsia="zh-CN"/>
              </w:rPr>
              <w:t>文化</w:t>
            </w:r>
            <w:r>
              <w:rPr>
                <w:rFonts w:hint="eastAsia" w:ascii="仿宋_GB2312" w:hAnsi="宋体" w:eastAsia="仿宋_GB2312"/>
                <w:color w:val="auto"/>
                <w:sz w:val="28"/>
                <w:szCs w:val="28"/>
                <w:highlight w:val="none"/>
                <w:lang w:val="zh-CN"/>
              </w:rPr>
              <w:t>馆</w:t>
            </w:r>
            <w:r>
              <w:rPr>
                <w:rFonts w:hint="eastAsia" w:ascii="仿宋_GB2312" w:hAnsi="宋体" w:eastAsia="仿宋_GB2312"/>
                <w:color w:val="auto"/>
                <w:sz w:val="28"/>
                <w:szCs w:val="28"/>
                <w:highlight w:val="none"/>
                <w:lang w:val="zh-CN" w:eastAsia="zh-CN"/>
              </w:rPr>
              <w:t>四楼</w:t>
            </w:r>
          </w:p>
        </w:tc>
      </w:tr>
      <w:tr>
        <w:tblPrEx>
          <w:tblCellMar>
            <w:top w:w="0" w:type="dxa"/>
            <w:left w:w="108" w:type="dxa"/>
            <w:bottom w:w="0" w:type="dxa"/>
            <w:right w:w="108" w:type="dxa"/>
          </w:tblCellMar>
        </w:tblPrEx>
        <w:trPr>
          <w:trHeight w:val="977"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 达 方 式</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jc w:val="left"/>
              <w:rPr>
                <w:rFonts w:ascii="仿宋_GB2312" w:hAnsi="宋体" w:eastAsia="仿宋_GB2312"/>
                <w:color w:val="auto"/>
                <w:sz w:val="28"/>
                <w:szCs w:val="28"/>
                <w:highlight w:val="none"/>
              </w:rPr>
            </w:pPr>
            <w:r>
              <w:rPr>
                <w:rFonts w:hint="eastAsia" w:ascii="仿宋_GB2312" w:hAnsi="宋体" w:eastAsia="仿宋_GB2312" w:cs="宋体"/>
                <w:color w:val="auto"/>
                <w:kern w:val="0"/>
                <w:sz w:val="32"/>
                <w:szCs w:val="32"/>
                <w:highlight w:val="none"/>
              </w:rPr>
              <w:t>□</w:t>
            </w:r>
            <w:r>
              <w:rPr>
                <w:rFonts w:hint="eastAsia" w:ascii="仿宋_GB2312" w:hAnsi="宋体" w:eastAsia="仿宋_GB2312"/>
                <w:color w:val="auto"/>
                <w:sz w:val="28"/>
                <w:szCs w:val="28"/>
                <w:highlight w:val="none"/>
              </w:rPr>
              <w:t>直接送达    □留置送达     □邮寄送达</w:t>
            </w:r>
          </w:p>
          <w:p>
            <w:pPr>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□公告送达    □其他</w:t>
            </w:r>
          </w:p>
        </w:tc>
      </w:tr>
      <w:tr>
        <w:tblPrEx>
          <w:tblCellMar>
            <w:top w:w="0" w:type="dxa"/>
            <w:left w:w="108" w:type="dxa"/>
            <w:bottom w:w="0" w:type="dxa"/>
            <w:right w:w="108" w:type="dxa"/>
          </w:tblCellMar>
        </w:tblPrEx>
        <w:trPr>
          <w:trHeight w:val="2626"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收件人签字（或盖章）及收件日期</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（与受送达人的关系：              ）</w:t>
            </w: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26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送达人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142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拒收原因</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ind w:right="480"/>
              <w:jc w:val="left"/>
              <w:rPr>
                <w:rFonts w:ascii="仿宋_GB2312" w:hAnsi="宋体" w:eastAsia="仿宋_GB2312"/>
                <w:color w:val="auto"/>
                <w:sz w:val="28"/>
                <w:szCs w:val="28"/>
                <w:highlight w:val="none"/>
              </w:rPr>
            </w:pPr>
          </w:p>
        </w:tc>
      </w:tr>
      <w:tr>
        <w:tblPrEx>
          <w:tblCellMar>
            <w:top w:w="0" w:type="dxa"/>
            <w:left w:w="108" w:type="dxa"/>
            <w:bottom w:w="0" w:type="dxa"/>
            <w:right w:w="108" w:type="dxa"/>
          </w:tblCellMar>
        </w:tblPrEx>
        <w:trPr>
          <w:trHeight w:val="1410"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见证人</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300" w:lineRule="exact"/>
              <w:jc w:val="left"/>
              <w:rPr>
                <w:rFonts w:ascii="仿宋_GB2312" w:hAnsi="宋体" w:eastAsia="仿宋_GB2312"/>
                <w:color w:val="auto"/>
                <w:sz w:val="28"/>
                <w:szCs w:val="28"/>
                <w:highlight w:val="none"/>
              </w:rPr>
            </w:pPr>
          </w:p>
          <w:p>
            <w:pPr>
              <w:spacing w:line="300" w:lineRule="exact"/>
              <w:jc w:val="left"/>
              <w:rPr>
                <w:rFonts w:ascii="仿宋_GB2312" w:hAnsi="宋体" w:eastAsia="仿宋_GB2312"/>
                <w:color w:val="auto"/>
                <w:sz w:val="28"/>
                <w:szCs w:val="28"/>
                <w:highlight w:val="none"/>
              </w:rPr>
            </w:pPr>
          </w:p>
          <w:p>
            <w:pPr>
              <w:spacing w:line="300" w:lineRule="exact"/>
              <w:jc w:val="right"/>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年   月   日</w:t>
            </w:r>
          </w:p>
        </w:tc>
      </w:tr>
      <w:tr>
        <w:tblPrEx>
          <w:tblCellMar>
            <w:top w:w="0" w:type="dxa"/>
            <w:left w:w="108" w:type="dxa"/>
            <w:bottom w:w="0" w:type="dxa"/>
            <w:right w:w="108" w:type="dxa"/>
          </w:tblCellMar>
        </w:tblPrEx>
        <w:trPr>
          <w:trHeight w:val="969" w:hRule="atLeast"/>
          <w:jc w:val="center"/>
        </w:trPr>
        <w:tc>
          <w:tcPr>
            <w:tcW w:w="1951" w:type="dxa"/>
            <w:tcBorders>
              <w:top w:val="single" w:color="auto" w:sz="4" w:space="0"/>
              <w:left w:val="single" w:color="auto" w:sz="4" w:space="0"/>
              <w:bottom w:val="single" w:color="auto" w:sz="4" w:space="0"/>
              <w:right w:val="single" w:color="auto" w:sz="4" w:space="0"/>
            </w:tcBorders>
            <w:noWrap w:val="0"/>
            <w:vAlign w:val="center"/>
          </w:tcPr>
          <w:p>
            <w:pPr>
              <w:spacing w:line="360" w:lineRule="exact"/>
              <w:jc w:val="distribute"/>
              <w:rPr>
                <w:rFonts w:ascii="仿宋_GB2312" w:hAnsi="宋体" w:eastAsia="仿宋_GB2312"/>
                <w:color w:val="auto"/>
                <w:sz w:val="28"/>
                <w:szCs w:val="28"/>
                <w:highlight w:val="none"/>
              </w:rPr>
            </w:pPr>
            <w:r>
              <w:rPr>
                <w:rFonts w:hint="eastAsia" w:ascii="仿宋_GB2312" w:hAnsi="宋体" w:eastAsia="仿宋_GB2312"/>
                <w:color w:val="auto"/>
                <w:sz w:val="28"/>
                <w:szCs w:val="28"/>
                <w:highlight w:val="none"/>
              </w:rPr>
              <w:t>备      注</w:t>
            </w:r>
          </w:p>
        </w:tc>
        <w:tc>
          <w:tcPr>
            <w:tcW w:w="6769" w:type="dxa"/>
            <w:tcBorders>
              <w:top w:val="single" w:color="auto" w:sz="4" w:space="0"/>
              <w:left w:val="single" w:color="auto" w:sz="4" w:space="0"/>
              <w:bottom w:val="single" w:color="auto" w:sz="4" w:space="0"/>
              <w:right w:val="single" w:color="auto" w:sz="4" w:space="0"/>
            </w:tcBorders>
            <w:noWrap w:val="0"/>
            <w:vAlign w:val="center"/>
          </w:tcPr>
          <w:p>
            <w:pPr>
              <w:spacing w:line="480" w:lineRule="exact"/>
              <w:ind w:firstLine="560" w:firstLineChars="200"/>
              <w:jc w:val="left"/>
              <w:rPr>
                <w:rFonts w:ascii="仿宋_GB2312" w:hAnsi="宋体" w:eastAsia="仿宋_GB2312"/>
                <w:color w:val="auto"/>
                <w:sz w:val="28"/>
                <w:szCs w:val="28"/>
                <w:highlight w:val="none"/>
              </w:rPr>
            </w:pPr>
          </w:p>
        </w:tc>
      </w:tr>
    </w:tbl>
    <w:p>
      <w:pPr>
        <w:keepNext w:val="0"/>
        <w:keepLines w:val="0"/>
        <w:pageBreakBefore w:val="0"/>
        <w:widowControl w:val="0"/>
        <w:kinsoku/>
        <w:wordWrap/>
        <w:overflowPunct/>
        <w:topLinePunct w:val="0"/>
        <w:autoSpaceDE/>
        <w:autoSpaceDN/>
        <w:bidi w:val="0"/>
        <w:adjustRightInd/>
        <w:snapToGrid/>
        <w:spacing w:line="20" w:lineRule="exact"/>
        <w:textAlignment w:val="auto"/>
      </w:pPr>
    </w:p>
    <w:sectPr>
      <w:pgSz w:w="11906" w:h="16838"/>
      <w:pgMar w:top="1440" w:right="1474"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Consolas">
    <w:panose1 w:val="020B0609020204030204"/>
    <w:charset w:val="00"/>
    <w:family w:val="auto"/>
    <w:pitch w:val="default"/>
    <w:sig w:usb0="E00006FF" w:usb1="0000FCFF" w:usb2="00000001" w:usb3="00000000" w:csb0="6000019F" w:csb1="DFD70000"/>
  </w:font>
  <w:font w:name="微软雅黑">
    <w:panose1 w:val="020B0503020204020204"/>
    <w:charset w:val="86"/>
    <w:family w:val="auto"/>
    <w:pitch w:val="default"/>
    <w:sig w:usb0="80000287" w:usb1="2ACF3C50" w:usb2="00000016" w:usb3="00000000" w:csb0="0004001F" w:csb1="00000000"/>
  </w:font>
  <w:font w:name="方正小标宋简体">
    <w:panose1 w:val="03000509000000000000"/>
    <w:charset w:val="86"/>
    <w:family w:val="script"/>
    <w:pitch w:val="default"/>
    <w:sig w:usb0="00000001" w:usb1="080E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B"/>
    <w:rsid w:val="00013D85"/>
    <w:rsid w:val="00045706"/>
    <w:rsid w:val="0009270D"/>
    <w:rsid w:val="00094181"/>
    <w:rsid w:val="000F7FB3"/>
    <w:rsid w:val="001327FC"/>
    <w:rsid w:val="00190885"/>
    <w:rsid w:val="0019434E"/>
    <w:rsid w:val="00195734"/>
    <w:rsid w:val="001B061B"/>
    <w:rsid w:val="001B082B"/>
    <w:rsid w:val="001E0425"/>
    <w:rsid w:val="001F0195"/>
    <w:rsid w:val="00265EF7"/>
    <w:rsid w:val="00272181"/>
    <w:rsid w:val="002A603F"/>
    <w:rsid w:val="002C1572"/>
    <w:rsid w:val="003611F1"/>
    <w:rsid w:val="0037438C"/>
    <w:rsid w:val="00377336"/>
    <w:rsid w:val="003D20AD"/>
    <w:rsid w:val="00402578"/>
    <w:rsid w:val="00404347"/>
    <w:rsid w:val="00427F73"/>
    <w:rsid w:val="00442203"/>
    <w:rsid w:val="004517BE"/>
    <w:rsid w:val="004572E9"/>
    <w:rsid w:val="004969A8"/>
    <w:rsid w:val="004A495B"/>
    <w:rsid w:val="004D2512"/>
    <w:rsid w:val="004D5593"/>
    <w:rsid w:val="004F49B1"/>
    <w:rsid w:val="00504331"/>
    <w:rsid w:val="00534BF9"/>
    <w:rsid w:val="00561643"/>
    <w:rsid w:val="0060049D"/>
    <w:rsid w:val="00602E4D"/>
    <w:rsid w:val="00665849"/>
    <w:rsid w:val="00693B70"/>
    <w:rsid w:val="00695B8C"/>
    <w:rsid w:val="006A71E5"/>
    <w:rsid w:val="006F53ED"/>
    <w:rsid w:val="0070157C"/>
    <w:rsid w:val="00773098"/>
    <w:rsid w:val="00797E46"/>
    <w:rsid w:val="007A110C"/>
    <w:rsid w:val="00843AB8"/>
    <w:rsid w:val="00844B9C"/>
    <w:rsid w:val="008455D2"/>
    <w:rsid w:val="00906F8D"/>
    <w:rsid w:val="00911A61"/>
    <w:rsid w:val="00941B31"/>
    <w:rsid w:val="00953DC9"/>
    <w:rsid w:val="00961C72"/>
    <w:rsid w:val="00977947"/>
    <w:rsid w:val="009A162C"/>
    <w:rsid w:val="009A1707"/>
    <w:rsid w:val="009B15DB"/>
    <w:rsid w:val="009B1AAB"/>
    <w:rsid w:val="009D720B"/>
    <w:rsid w:val="009F6120"/>
    <w:rsid w:val="00A62F03"/>
    <w:rsid w:val="00A747B7"/>
    <w:rsid w:val="00AB0705"/>
    <w:rsid w:val="00AB63A5"/>
    <w:rsid w:val="00AE32BE"/>
    <w:rsid w:val="00AE4764"/>
    <w:rsid w:val="00AF593C"/>
    <w:rsid w:val="00B25534"/>
    <w:rsid w:val="00B82000"/>
    <w:rsid w:val="00BA539F"/>
    <w:rsid w:val="00BC336B"/>
    <w:rsid w:val="00BF1BA4"/>
    <w:rsid w:val="00BF6153"/>
    <w:rsid w:val="00C37241"/>
    <w:rsid w:val="00C61DE3"/>
    <w:rsid w:val="00C6256C"/>
    <w:rsid w:val="00C67F34"/>
    <w:rsid w:val="00CA6ABE"/>
    <w:rsid w:val="00CB5565"/>
    <w:rsid w:val="00D11014"/>
    <w:rsid w:val="00D87013"/>
    <w:rsid w:val="00D9734D"/>
    <w:rsid w:val="00DA4455"/>
    <w:rsid w:val="00DE2947"/>
    <w:rsid w:val="00E03263"/>
    <w:rsid w:val="00E1164A"/>
    <w:rsid w:val="00E17D2D"/>
    <w:rsid w:val="00E56433"/>
    <w:rsid w:val="00E94A11"/>
    <w:rsid w:val="00E97906"/>
    <w:rsid w:val="00EB014B"/>
    <w:rsid w:val="00EB36F7"/>
    <w:rsid w:val="00ED4641"/>
    <w:rsid w:val="00EE1716"/>
    <w:rsid w:val="00EE2310"/>
    <w:rsid w:val="00F24A6D"/>
    <w:rsid w:val="00F51957"/>
    <w:rsid w:val="00F57B09"/>
    <w:rsid w:val="00F7558B"/>
    <w:rsid w:val="00F91EDA"/>
    <w:rsid w:val="00FA6BBA"/>
    <w:rsid w:val="00FB47E1"/>
    <w:rsid w:val="00FC1D43"/>
    <w:rsid w:val="00FD6358"/>
    <w:rsid w:val="00FF36F7"/>
    <w:rsid w:val="020054DC"/>
    <w:rsid w:val="042B25B0"/>
    <w:rsid w:val="04E2054C"/>
    <w:rsid w:val="06D253B6"/>
    <w:rsid w:val="08783DEC"/>
    <w:rsid w:val="09FE47E4"/>
    <w:rsid w:val="0BFA5C3A"/>
    <w:rsid w:val="0E5F44E3"/>
    <w:rsid w:val="0FCD3895"/>
    <w:rsid w:val="10121B98"/>
    <w:rsid w:val="112215EA"/>
    <w:rsid w:val="127F2527"/>
    <w:rsid w:val="13CD012B"/>
    <w:rsid w:val="14F27D13"/>
    <w:rsid w:val="151137F8"/>
    <w:rsid w:val="164E1B46"/>
    <w:rsid w:val="17960DD3"/>
    <w:rsid w:val="18500332"/>
    <w:rsid w:val="19073446"/>
    <w:rsid w:val="1D5049C9"/>
    <w:rsid w:val="1DFE47EF"/>
    <w:rsid w:val="1F24248D"/>
    <w:rsid w:val="1FD51AD0"/>
    <w:rsid w:val="20D04808"/>
    <w:rsid w:val="21E10CEF"/>
    <w:rsid w:val="23C71CFE"/>
    <w:rsid w:val="241C4E53"/>
    <w:rsid w:val="25441123"/>
    <w:rsid w:val="28030D3D"/>
    <w:rsid w:val="28EB6AF7"/>
    <w:rsid w:val="29DE477A"/>
    <w:rsid w:val="2B624D1A"/>
    <w:rsid w:val="311704B7"/>
    <w:rsid w:val="31D5518D"/>
    <w:rsid w:val="36270B91"/>
    <w:rsid w:val="368B1BD2"/>
    <w:rsid w:val="36D15F3F"/>
    <w:rsid w:val="38B02D6F"/>
    <w:rsid w:val="38EB40AB"/>
    <w:rsid w:val="3BBF0DA2"/>
    <w:rsid w:val="3D453069"/>
    <w:rsid w:val="419E60A2"/>
    <w:rsid w:val="44E93D24"/>
    <w:rsid w:val="467D786A"/>
    <w:rsid w:val="46E83350"/>
    <w:rsid w:val="49BA3657"/>
    <w:rsid w:val="4B175F93"/>
    <w:rsid w:val="4B4432C6"/>
    <w:rsid w:val="50221E3A"/>
    <w:rsid w:val="50D973B7"/>
    <w:rsid w:val="513A1EA6"/>
    <w:rsid w:val="51CC4D42"/>
    <w:rsid w:val="524A1BBA"/>
    <w:rsid w:val="52C84BF7"/>
    <w:rsid w:val="54547134"/>
    <w:rsid w:val="56C85F93"/>
    <w:rsid w:val="57C64365"/>
    <w:rsid w:val="59BE6732"/>
    <w:rsid w:val="5A6332BB"/>
    <w:rsid w:val="5C820D83"/>
    <w:rsid w:val="5CD8363E"/>
    <w:rsid w:val="5E7457AE"/>
    <w:rsid w:val="5F324BBD"/>
    <w:rsid w:val="5F800338"/>
    <w:rsid w:val="60153310"/>
    <w:rsid w:val="60CF277C"/>
    <w:rsid w:val="6330588A"/>
    <w:rsid w:val="651B3DA7"/>
    <w:rsid w:val="66346F74"/>
    <w:rsid w:val="69B71C71"/>
    <w:rsid w:val="69C83CAB"/>
    <w:rsid w:val="6AAB5F04"/>
    <w:rsid w:val="6B766472"/>
    <w:rsid w:val="723F510A"/>
    <w:rsid w:val="727D6141"/>
    <w:rsid w:val="732E6FC8"/>
    <w:rsid w:val="74EE1477"/>
    <w:rsid w:val="75BD69F3"/>
    <w:rsid w:val="76F6361D"/>
    <w:rsid w:val="7BD17265"/>
    <w:rsid w:val="7BD21E6F"/>
    <w:rsid w:val="7C4505C1"/>
    <w:rsid w:val="7C7A248E"/>
    <w:rsid w:val="7EC85AFB"/>
    <w:rsid w:val="7FA6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qFormat="1" w:uiPriority="99" w:name="HTML Code"/>
    <w:lsdException w:qFormat="1" w:uiPriority="99" w:name="HTML Definition"/>
    <w:lsdException w:qFormat="1" w:uiPriority="99" w:name="HTML Keyboard"/>
    <w:lsdException w:qFormat="1" w:unhideWhenUsed="0" w:uiPriority="99" w:semiHidden="0" w:name="HTML Preformatted"/>
    <w:lsdException w:qFormat="1"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style>
  <w:style w:type="paragraph" w:styleId="3">
    <w:name w:val="Document Map"/>
    <w:basedOn w:val="1"/>
    <w:link w:val="21"/>
    <w:semiHidden/>
    <w:unhideWhenUsed/>
    <w:qFormat/>
    <w:uiPriority w:val="99"/>
    <w:rPr>
      <w:rFonts w:ascii="宋体"/>
      <w:sz w:val="18"/>
      <w:szCs w:val="18"/>
    </w:rPr>
  </w:style>
  <w:style w:type="paragraph" w:styleId="4">
    <w:name w:val="Body Text Indent 2"/>
    <w:basedOn w:val="1"/>
    <w:link w:val="20"/>
    <w:qFormat/>
    <w:uiPriority w:val="0"/>
    <w:pPr>
      <w:spacing w:line="440" w:lineRule="exact"/>
      <w:ind w:firstLine="640" w:firstLineChars="200"/>
    </w:pPr>
    <w:rPr>
      <w:rFonts w:ascii="宋体" w:hAnsi="宋体" w:eastAsia="仿宋_GB2312"/>
      <w:sz w:val="32"/>
      <w:szCs w:val="24"/>
    </w:rPr>
  </w:style>
  <w:style w:type="paragraph" w:styleId="5">
    <w:name w:val="footer"/>
    <w:basedOn w:val="1"/>
    <w:link w:val="19"/>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link w:val="18"/>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HTML Preformatted"/>
    <w:basedOn w:val="1"/>
    <w:link w:val="22"/>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8">
    <w:name w:val="Normal (Web)"/>
    <w:basedOn w:val="1"/>
    <w:semiHidden/>
    <w:unhideWhenUsed/>
    <w:qFormat/>
    <w:uiPriority w:val="99"/>
    <w:rPr>
      <w:sz w:val="24"/>
    </w:rPr>
  </w:style>
  <w:style w:type="character" w:styleId="11">
    <w:name w:val="Strong"/>
    <w:basedOn w:val="10"/>
    <w:qFormat/>
    <w:uiPriority w:val="22"/>
    <w:rPr>
      <w:b/>
      <w:bCs/>
    </w:rPr>
  </w:style>
  <w:style w:type="character" w:styleId="12">
    <w:name w:val="FollowedHyperlink"/>
    <w:basedOn w:val="10"/>
    <w:semiHidden/>
    <w:unhideWhenUsed/>
    <w:qFormat/>
    <w:uiPriority w:val="99"/>
    <w:rPr>
      <w:color w:val="666666"/>
      <w:u w:val="none"/>
    </w:rPr>
  </w:style>
  <w:style w:type="character" w:styleId="13">
    <w:name w:val="HTML Definition"/>
    <w:basedOn w:val="10"/>
    <w:semiHidden/>
    <w:unhideWhenUsed/>
    <w:qFormat/>
    <w:uiPriority w:val="99"/>
    <w:rPr>
      <w:i/>
      <w:iCs/>
    </w:rPr>
  </w:style>
  <w:style w:type="character" w:styleId="14">
    <w:name w:val="Hyperlink"/>
    <w:basedOn w:val="10"/>
    <w:semiHidden/>
    <w:unhideWhenUsed/>
    <w:qFormat/>
    <w:uiPriority w:val="99"/>
    <w:rPr>
      <w:color w:val="666666"/>
      <w:u w:val="none"/>
    </w:rPr>
  </w:style>
  <w:style w:type="character" w:styleId="15">
    <w:name w:val="HTML Code"/>
    <w:basedOn w:val="10"/>
    <w:semiHidden/>
    <w:unhideWhenUsed/>
    <w:qFormat/>
    <w:uiPriority w:val="99"/>
    <w:rPr>
      <w:rFonts w:ascii="Consolas" w:hAnsi="Consolas" w:eastAsia="Consolas" w:cs="Consolas"/>
      <w:color w:val="C7254E"/>
      <w:sz w:val="21"/>
      <w:szCs w:val="21"/>
      <w:shd w:val="clear" w:fill="F9F2F4"/>
    </w:rPr>
  </w:style>
  <w:style w:type="character" w:styleId="16">
    <w:name w:val="HTML Keyboard"/>
    <w:basedOn w:val="10"/>
    <w:semiHidden/>
    <w:unhideWhenUsed/>
    <w:qFormat/>
    <w:uiPriority w:val="99"/>
    <w:rPr>
      <w:rFonts w:hint="default" w:ascii="Consolas" w:hAnsi="Consolas" w:eastAsia="Consolas" w:cs="Consolas"/>
      <w:color w:val="FFFFFF"/>
      <w:sz w:val="21"/>
      <w:szCs w:val="21"/>
      <w:shd w:val="clear" w:fill="333333"/>
    </w:rPr>
  </w:style>
  <w:style w:type="character" w:styleId="17">
    <w:name w:val="HTML Sample"/>
    <w:basedOn w:val="10"/>
    <w:semiHidden/>
    <w:unhideWhenUsed/>
    <w:qFormat/>
    <w:uiPriority w:val="99"/>
    <w:rPr>
      <w:rFonts w:hint="default" w:ascii="Consolas" w:hAnsi="Consolas" w:eastAsia="Consolas" w:cs="Consolas"/>
      <w:sz w:val="21"/>
      <w:szCs w:val="21"/>
    </w:rPr>
  </w:style>
  <w:style w:type="character" w:customStyle="1" w:styleId="18">
    <w:name w:val="页眉 Char"/>
    <w:basedOn w:val="10"/>
    <w:link w:val="6"/>
    <w:semiHidden/>
    <w:qFormat/>
    <w:uiPriority w:val="99"/>
    <w:rPr>
      <w:sz w:val="18"/>
      <w:szCs w:val="18"/>
    </w:rPr>
  </w:style>
  <w:style w:type="character" w:customStyle="1" w:styleId="19">
    <w:name w:val="页脚 Char"/>
    <w:basedOn w:val="10"/>
    <w:link w:val="5"/>
    <w:semiHidden/>
    <w:qFormat/>
    <w:uiPriority w:val="99"/>
    <w:rPr>
      <w:sz w:val="18"/>
      <w:szCs w:val="18"/>
    </w:rPr>
  </w:style>
  <w:style w:type="character" w:customStyle="1" w:styleId="20">
    <w:name w:val="正文文本缩进 2 Char"/>
    <w:basedOn w:val="10"/>
    <w:link w:val="4"/>
    <w:qFormat/>
    <w:uiPriority w:val="0"/>
    <w:rPr>
      <w:rFonts w:ascii="宋体" w:hAnsi="宋体" w:eastAsia="仿宋_GB2312" w:cs="Times New Roman"/>
      <w:sz w:val="32"/>
      <w:szCs w:val="24"/>
    </w:rPr>
  </w:style>
  <w:style w:type="character" w:customStyle="1" w:styleId="21">
    <w:name w:val="文档结构图 Char"/>
    <w:basedOn w:val="10"/>
    <w:link w:val="3"/>
    <w:semiHidden/>
    <w:qFormat/>
    <w:uiPriority w:val="99"/>
    <w:rPr>
      <w:rFonts w:ascii="宋体" w:hAnsi="Times New Roman" w:eastAsia="宋体" w:cs="Times New Roman"/>
      <w:sz w:val="18"/>
      <w:szCs w:val="18"/>
    </w:rPr>
  </w:style>
  <w:style w:type="character" w:customStyle="1" w:styleId="22">
    <w:name w:val="HTML 预设格式 Char"/>
    <w:basedOn w:val="10"/>
    <w:link w:val="7"/>
    <w:qFormat/>
    <w:uiPriority w:val="99"/>
    <w:rPr>
      <w:rFonts w:ascii="宋体" w:hAnsi="宋体" w:eastAsia="宋体" w:cs="Times New Roman"/>
      <w:kern w:val="0"/>
      <w:sz w:val="24"/>
      <w:szCs w:val="24"/>
    </w:rPr>
  </w:style>
  <w:style w:type="paragraph" w:customStyle="1" w:styleId="23">
    <w:name w:val="faguicon_p"/>
    <w:basedOn w:val="1"/>
    <w:qFormat/>
    <w:uiPriority w:val="0"/>
    <w:pPr>
      <w:ind w:firstLine="480"/>
    </w:pPr>
    <w:rPr>
      <w:rFonts w:ascii="微软雅黑" w:hAnsi="微软雅黑" w:eastAsia="微软雅黑" w:cs="微软雅黑"/>
    </w:rPr>
  </w:style>
  <w:style w:type="character" w:customStyle="1" w:styleId="24">
    <w:name w:val="sect2title"/>
    <w:basedOn w:val="10"/>
    <w:qFormat/>
    <w:uiPriority w:val="0"/>
    <w:rPr>
      <w:rFonts w:ascii="微软雅黑" w:hAnsi="微软雅黑" w:eastAsia="微软雅黑" w:cs="微软雅黑"/>
      <w:b/>
      <w:bCs/>
      <w:sz w:val="26"/>
      <w:szCs w:val="26"/>
    </w:rPr>
  </w:style>
  <w:style w:type="character" w:customStyle="1" w:styleId="25">
    <w:name w:val="any"/>
    <w:basedOn w:val="10"/>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524</Words>
  <Characters>2988</Characters>
  <Lines>24</Lines>
  <Paragraphs>7</Paragraphs>
  <TotalTime>16</TotalTime>
  <ScaleCrop>false</ScaleCrop>
  <LinksUpToDate>false</LinksUpToDate>
  <CharactersWithSpaces>3505</CharactersWithSpaces>
  <Application>WPS Office_11.8.2.9017_F1E327BC-269C-435d-A152-05C5408002CA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2016-11-03T03:42:00Z</dcterms:created>
  <dc:creator>�҉䧘ϓ砐೒䪸ϓ矀೒䮘ϓԀ䱸ϓנҵ䵘ϓ</dc:creator>
  <cp:lastModifiedBy>胡桂梅</cp:lastModifiedBy>
  <cp:lastPrinted>2021-08-02T08:35:00Z</cp:lastPrinted>
  <dcterms:modified xsi:type="dcterms:W3CDTF">2021-09-01T02:46:42Z</dcterms:modified>
  <cp:revision>58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2052-11.8.2.9017</vt:lpwstr>
  </property>
  <property fmtid="{D5CDD505-2E9C-101B-9397-08002B2CF9AE}" pid="3" name="ICV">
    <vt:lpwstr>769508C449984DF38FA3362BDD603F04</vt:lpwstr>
  </property>
</Properties>
</file>