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40</w:t>
      </w:r>
      <w:r>
        <w:rPr>
          <w:rFonts w:hint="eastAsia" w:ascii="仿宋_GB2312" w:hAnsi="宋体" w:eastAsia="仿宋_GB2312" w:cs="宋体"/>
          <w:color w:val="auto"/>
          <w:kern w:val="0"/>
          <w:sz w:val="32"/>
          <w:szCs w:val="32"/>
          <w:highlight w:val="none"/>
        </w:rPr>
        <w:t>号</w:t>
      </w:r>
    </w:p>
    <w:p>
      <w:pPr>
        <w:pStyle w:val="2"/>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当事人名称：深圳市吉鑫建筑工程有限公司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法定代表人：李银如</w:t>
      </w:r>
    </w:p>
    <w:p>
      <w:pPr>
        <w:keepNext w:val="0"/>
        <w:keepLines w:val="0"/>
        <w:pageBreakBefore w:val="0"/>
        <w:widowControl/>
        <w:suppressLineNumbers w:val="0"/>
        <w:kinsoku/>
        <w:overflowPunct/>
        <w:topLinePunct w:val="0"/>
        <w:autoSpaceDE/>
        <w:bidi w:val="0"/>
        <w:adjustRightInd/>
        <w:snapToGrid/>
        <w:spacing w:line="560" w:lineRule="exact"/>
        <w:ind w:firstLine="640" w:firstLineChars="200"/>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统一社会信用代码：914403003058154030 </w:t>
      </w:r>
    </w:p>
    <w:p>
      <w:pPr>
        <w:pStyle w:val="2"/>
        <w:keepNext w:val="0"/>
        <w:keepLines w:val="0"/>
        <w:pageBreakBefore w:val="0"/>
        <w:widowControl w:val="0"/>
        <w:kinsoku/>
        <w:wordWrap w:val="0"/>
        <w:overflowPunct/>
        <w:topLinePunct w:val="0"/>
        <w:autoSpaceDE/>
        <w:bidi w:val="0"/>
        <w:adjustRightInd/>
        <w:snapToGrid/>
        <w:spacing w:line="560" w:lineRule="exact"/>
        <w:ind w:left="0" w:leftChars="0" w:firstLine="640" w:firstLineChars="200"/>
        <w:textAlignment w:val="auto"/>
        <w:rPr>
          <w:rFonts w:hint="eastAsia"/>
          <w:highlight w:val="none"/>
          <w:lang w:val="en-US" w:eastAsia="zh-CN"/>
        </w:rPr>
      </w:pPr>
      <w:r>
        <w:rPr>
          <w:rFonts w:hint="eastAsia" w:ascii="仿宋_GB2312" w:hAnsi="仿宋_GB2312" w:eastAsia="仿宋_GB2312"/>
          <w:color w:val="000000"/>
          <w:sz w:val="32"/>
          <w:szCs w:val="32"/>
          <w:highlight w:val="none"/>
          <w:u w:val="none" w:color="auto"/>
          <w:lang w:val="en-US" w:eastAsia="zh-CN"/>
        </w:rPr>
        <w:t xml:space="preserve">住所：深圳市龙华区福城街道桔塘社区新塘村福安阁9号2单元103 </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2021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8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26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2021年8月26日10时，我局执法人员联合深圳市计量质量检测研究院工作人员来到位于深圳市盐田区永安路的港嵘拔翠园项目主体工程进行尾气检测。现场检查发现，该工地处于正常施工作业状态，现处于主体施工阶段，现场有4台挖掘机、1台装载机。深圳市计量质量检测研究院工作人员对现场4台挖掘机、1台装载机进行了尾气检测。</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eastAsia="zh-CN"/>
        </w:rPr>
      </w:pPr>
      <w:r>
        <w:rPr>
          <w:rFonts w:hint="eastAsia" w:ascii="仿宋_GB2312" w:hAnsi="宋体" w:eastAsia="仿宋_GB2312" w:cs="宋体"/>
          <w:color w:val="auto"/>
          <w:kern w:val="0"/>
          <w:sz w:val="32"/>
          <w:szCs w:val="32"/>
          <w:highlight w:val="none"/>
          <w:u w:val="none"/>
        </w:rPr>
        <w:t>我局于2021年9月6日收到深圳市计量质量检测研究院出具的《检验报告》（报告编号为WT215208856、WT215208857、WT215208858、WT215208859、WT215208860、共计5份），其中《检验报告》显示2台排放阶段为国</w:t>
      </w:r>
      <w:r>
        <w:rPr>
          <w:rFonts w:hint="eastAsia" w:ascii="仿宋_GB2312" w:hAnsi="仿宋_GB2312" w:eastAsia="仿宋_GB2312" w:cs="仿宋_GB2312"/>
          <w:color w:val="auto"/>
          <w:kern w:val="0"/>
          <w:sz w:val="32"/>
          <w:szCs w:val="32"/>
          <w:highlight w:val="none"/>
          <w:u w:val="none"/>
        </w:rPr>
        <w:t>Ⅲ</w:t>
      </w:r>
      <w:r>
        <w:rPr>
          <w:rFonts w:hint="eastAsia" w:ascii="仿宋_GB2312" w:hAnsi="仿宋_GB2312" w:eastAsia="仿宋_GB2312" w:cs="仿宋_GB2312"/>
          <w:color w:val="auto"/>
          <w:kern w:val="0"/>
          <w:sz w:val="32"/>
          <w:szCs w:val="32"/>
          <w:highlight w:val="none"/>
          <w:u w:val="none"/>
          <w:lang w:eastAsia="zh-CN"/>
        </w:rPr>
        <w:t>的</w:t>
      </w:r>
      <w:r>
        <w:rPr>
          <w:rFonts w:hint="eastAsia" w:ascii="仿宋_GB2312" w:hAnsi="宋体" w:eastAsia="仿宋_GB2312" w:cs="宋体"/>
          <w:color w:val="auto"/>
          <w:kern w:val="0"/>
          <w:sz w:val="32"/>
          <w:szCs w:val="32"/>
          <w:highlight w:val="none"/>
          <w:u w:val="none"/>
        </w:rPr>
        <w:t>柴油非道路移动机械排气不透光烟度检验判定为不合格。具体是</w:t>
      </w:r>
      <w:r>
        <w:rPr>
          <w:rFonts w:hint="eastAsia" w:ascii="仿宋_GB2312" w:hAnsi="宋体" w:eastAsia="仿宋_GB2312" w:cs="宋体"/>
          <w:color w:val="auto"/>
          <w:kern w:val="0"/>
          <w:sz w:val="32"/>
          <w:szCs w:val="32"/>
          <w:highlight w:val="none"/>
          <w:u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eastAsia="zh-CN"/>
        </w:rPr>
      </w:pPr>
      <w:r>
        <w:rPr>
          <w:rFonts w:hint="eastAsia" w:ascii="仿宋_GB2312" w:hAnsi="宋体" w:eastAsia="仿宋_GB2312" w:cs="宋体"/>
          <w:color w:val="auto"/>
          <w:kern w:val="0"/>
          <w:sz w:val="32"/>
          <w:szCs w:val="32"/>
          <w:highlight w:val="none"/>
          <w:u w:val="none"/>
        </w:rPr>
        <w:t>《检验报告》(编号WT215208857)显示，型号为(SY245H)的挖掘机排气不透光烟度检验结果为0.77M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(限值为0.5M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)，《检验报告》(编号WT215208858)显示，型号为(SY245H)的挖掘机排气不透光烟度检验结果为0.71M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(限值为0.5M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w:t>
      </w:r>
      <w:r>
        <w:rPr>
          <w:rFonts w:hint="eastAsia" w:ascii="仿宋_GB2312" w:hAnsi="宋体" w:eastAsia="仿宋_GB2312" w:cs="宋体"/>
          <w:color w:val="auto"/>
          <w:kern w:val="0"/>
          <w:sz w:val="32"/>
          <w:szCs w:val="32"/>
          <w:highlight w:val="none"/>
          <w:u w:val="none"/>
          <w:lang w:eastAsia="zh-CN"/>
        </w:rPr>
        <w:t>。你单位存在使用排放不合格的非道路移动机械的违法行为。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笔录、调查询问笔录、现场照片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报告,以及当事人提供的营业执照复印件、身份证复印件、法人授权委托书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《中华人民共和国大气污染防治法》第一百一十四条第一款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 陈锡江      电话：</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pStyle w:val="2"/>
        <w:keepNext w:val="0"/>
        <w:keepLines w:val="0"/>
        <w:pageBreakBefore w:val="0"/>
        <w:kinsoku/>
        <w:wordWrap/>
        <w:overflowPunct/>
        <w:topLinePunct w:val="0"/>
        <w:bidi w:val="0"/>
        <w:snapToGrid/>
        <w:spacing w:line="560" w:lineRule="exact"/>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r>
        <w:rPr>
          <w:rFonts w:hint="eastAsia" w:ascii="仿宋_GB2312" w:hAnsi="宋体" w:eastAsia="仿宋_GB2312" w:cs="宋体"/>
          <w:color w:val="auto"/>
          <w:kern w:val="0"/>
          <w:sz w:val="32"/>
          <w:szCs w:val="32"/>
          <w:highlight w:val="none"/>
          <w:u w:val="none"/>
          <w:lang w:val="zh-CN"/>
        </w:rPr>
        <w:t xml:space="preserve">    </w:t>
      </w:r>
    </w:p>
    <w:p>
      <w:pPr>
        <w:pStyle w:val="2"/>
        <w:keepNext w:val="0"/>
        <w:keepLines w:val="0"/>
        <w:pageBreakBefore w:val="0"/>
        <w:kinsoku/>
        <w:wordWrap/>
        <w:overflowPunct/>
        <w:topLinePunct w:val="0"/>
        <w:bidi w:val="0"/>
        <w:snapToGrid/>
        <w:spacing w:line="560" w:lineRule="exact"/>
        <w:textAlignment w:val="auto"/>
        <w:rPr>
          <w:rFonts w:hint="eastAsia" w:ascii="仿宋_GB2312" w:hAnsi="宋体" w:eastAsia="仿宋_GB2312" w:cs="宋体"/>
          <w:color w:val="auto"/>
          <w:kern w:val="0"/>
          <w:sz w:val="32"/>
          <w:szCs w:val="32"/>
          <w:highlight w:val="none"/>
          <w:u w:val="none"/>
          <w:lang w:val="zh-CN"/>
        </w:rPr>
      </w:pPr>
    </w:p>
    <w:p>
      <w:pPr>
        <w:pStyle w:val="2"/>
        <w:keepNext w:val="0"/>
        <w:keepLines w:val="0"/>
        <w:pageBreakBefore w:val="0"/>
        <w:kinsoku/>
        <w:wordWrap/>
        <w:overflowPunct/>
        <w:topLinePunct w:val="0"/>
        <w:bidi w:val="0"/>
        <w:snapToGrid/>
        <w:spacing w:line="560" w:lineRule="exact"/>
        <w:ind w:left="0" w:leftChars="0" w:firstLine="0" w:firstLineChars="0"/>
        <w:textAlignment w:val="auto"/>
        <w:rPr>
          <w:rFonts w:hint="eastAsia" w:ascii="仿宋_GB2312" w:hAnsi="宋体" w:eastAsia="仿宋_GB2312" w:cs="宋体"/>
          <w:color w:val="auto"/>
          <w:kern w:val="0"/>
          <w:sz w:val="32"/>
          <w:szCs w:val="32"/>
          <w:highlight w:val="none"/>
          <w:u w:val="none"/>
          <w:lang w:val="zh-CN"/>
        </w:rPr>
      </w:pPr>
    </w:p>
    <w:p>
      <w:pPr>
        <w:pStyle w:val="7"/>
        <w:keepNext w:val="0"/>
        <w:keepLines w:val="0"/>
        <w:pageBreakBefore w:val="0"/>
        <w:widowControl/>
        <w:kinsoku/>
        <w:wordWrap/>
        <w:overflowPunct/>
        <w:topLinePunct w:val="0"/>
        <w:autoSpaceDE/>
        <w:autoSpaceDN/>
        <w:bidi w:val="0"/>
        <w:adjustRightInd/>
        <w:snapToGrid/>
        <w:spacing w:line="560" w:lineRule="exact"/>
        <w:ind w:right="840" w:rightChars="400"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60" w:lineRule="exact"/>
        <w:ind w:right="840" w:rightChars="400"/>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二〇二一年九月八日</w:t>
      </w: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numPr>
          <w:ilvl w:val="0"/>
          <w:numId w:val="0"/>
        </w:numPr>
        <w:rPr>
          <w:rFonts w:hint="eastAsia" w:ascii="仿宋_GB2312" w:hAnsi="宋体" w:eastAsia="仿宋_GB2312"/>
          <w:sz w:val="24"/>
          <w:szCs w:val="24"/>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numPr>
          <w:ilvl w:val="0"/>
          <w:numId w:val="0"/>
        </w:numPr>
        <w:rPr>
          <w:rFonts w:hint="eastAsia" w:ascii="仿宋_GB2312" w:hAnsi="宋体" w:eastAsia="仿宋_GB2312"/>
          <w:sz w:val="24"/>
          <w:szCs w:val="24"/>
          <w:lang w:eastAsia="zh-CN"/>
        </w:rPr>
      </w:pPr>
      <w:r>
        <w:rPr>
          <w:rFonts w:hint="eastAsia" w:ascii="仿宋_GB2312" w:hAnsi="宋体" w:eastAsia="仿宋_GB2312"/>
          <w:sz w:val="24"/>
          <w:szCs w:val="24"/>
          <w:lang w:val="en-US" w:eastAsia="zh-CN"/>
        </w:rPr>
        <w:t>附</w:t>
      </w:r>
      <w:r>
        <w:rPr>
          <w:rFonts w:hint="eastAsia" w:ascii="仿宋_GB2312" w:hAnsi="宋体" w:eastAsia="仿宋_GB2312"/>
          <w:sz w:val="24"/>
          <w:szCs w:val="24"/>
          <w:lang w:eastAsia="zh-CN"/>
        </w:rPr>
        <w:t>：</w:t>
      </w:r>
    </w:p>
    <w:p>
      <w:pPr>
        <w:numPr>
          <w:ilvl w:val="0"/>
          <w:numId w:val="1"/>
        </w:numPr>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《中华人民共和国大气污染防治法》第五十</w:t>
      </w:r>
      <w:r>
        <w:rPr>
          <w:rFonts w:hint="eastAsia" w:ascii="仿宋_GB2312" w:hAnsi="宋体" w:eastAsia="仿宋_GB2312"/>
          <w:sz w:val="24"/>
          <w:szCs w:val="24"/>
          <w:lang w:eastAsia="zh-CN"/>
        </w:rPr>
        <w:t>一</w:t>
      </w:r>
      <w:r>
        <w:rPr>
          <w:rFonts w:hint="eastAsia" w:ascii="仿宋_GB2312" w:hAnsi="宋体" w:eastAsia="仿宋_GB2312"/>
          <w:sz w:val="24"/>
          <w:szCs w:val="24"/>
        </w:rPr>
        <w:t>条第一款</w:t>
      </w:r>
    </w:p>
    <w:p>
      <w:pPr>
        <w:numPr>
          <w:ilvl w:val="0"/>
          <w:numId w:val="0"/>
        </w:numPr>
        <w:rPr>
          <w:rFonts w:hint="eastAsia" w:ascii="仿宋_GB2312" w:hAnsi="宋体" w:eastAsia="仿宋_GB2312"/>
          <w:sz w:val="24"/>
          <w:szCs w:val="24"/>
          <w:lang w:val="en-US" w:eastAsia="zh-CN"/>
        </w:rPr>
      </w:pPr>
      <w:r>
        <w:rPr>
          <w:rFonts w:hint="eastAsia" w:ascii="仿宋_GB2312" w:hAnsi="宋体" w:eastAsia="仿宋_GB2312"/>
          <w:sz w:val="24"/>
          <w:szCs w:val="24"/>
        </w:rPr>
        <w:t>机动车船、非道路移动机械不得超过标准排放大气污染物</w:t>
      </w:r>
      <w:r>
        <w:rPr>
          <w:rFonts w:hint="eastAsia" w:ascii="仿宋_GB2312" w:hAnsi="宋体" w:eastAsia="仿宋_GB2312"/>
          <w:sz w:val="24"/>
          <w:szCs w:val="24"/>
          <w:lang w:val="en-US" w:eastAsia="zh-CN"/>
        </w:rPr>
        <w:t>.</w:t>
      </w:r>
    </w:p>
    <w:p>
      <w:pPr>
        <w:numPr>
          <w:ilvl w:val="0"/>
          <w:numId w:val="1"/>
        </w:numPr>
        <w:ind w:left="0" w:leftChars="0" w:firstLine="0" w:firstLineChars="0"/>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《中华人民共和国大气污染防治法》第一百一十四条第一</w:t>
      </w:r>
      <w:r>
        <w:rPr>
          <w:rFonts w:hint="eastAsia" w:ascii="仿宋_GB2312" w:hAnsi="宋体" w:eastAsia="仿宋_GB2312"/>
          <w:sz w:val="24"/>
          <w:szCs w:val="24"/>
          <w:lang w:eastAsia="zh-CN"/>
        </w:rPr>
        <w:t>款</w:t>
      </w:r>
    </w:p>
    <w:p>
      <w:pPr>
        <w:numPr>
          <w:ilvl w:val="0"/>
          <w:numId w:val="0"/>
        </w:numPr>
        <w:ind w:leftChars="0"/>
        <w:rPr>
          <w:rFonts w:hint="eastAsia" w:ascii="仿宋_GB2312" w:hAnsi="宋体" w:eastAsia="仿宋_GB2312"/>
          <w:sz w:val="24"/>
          <w:szCs w:val="24"/>
          <w:lang w:eastAsia="zh-CN"/>
        </w:rPr>
      </w:pPr>
      <w:r>
        <w:rPr>
          <w:rFonts w:hint="eastAsia" w:ascii="仿宋_GB2312" w:hAnsi="宋体" w:eastAsia="仿宋_GB2312"/>
          <w:sz w:val="24"/>
          <w:szCs w:val="24"/>
        </w:rPr>
        <w:t>违反本法规定，使用排放不合格的非道路移动机械，或者在用重型柴油车、非道路移动机械未按照规定加装、更换污染控制装置的，由县级以上人民政府生态环境等主管部门按照职责责令改正，处五千元的罚款</w:t>
      </w:r>
      <w:r>
        <w:rPr>
          <w:rFonts w:hint="eastAsia" w:ascii="仿宋_GB2312" w:hAnsi="宋体" w:eastAsia="仿宋_GB2312"/>
          <w:sz w:val="24"/>
          <w:szCs w:val="24"/>
          <w:lang w:eastAsia="zh-CN"/>
        </w:rPr>
        <w:t>。</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40</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深圳市吉鑫建筑工程有限公司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bookmarkStart w:id="0" w:name="_GoBack"/>
            <w:bookmarkEnd w:id="0"/>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FSGB2312A">
    <w:panose1 w:val="02010604000000000000"/>
    <w:charset w:val="00"/>
    <w:family w:val="auto"/>
    <w:pitch w:val="default"/>
    <w:sig w:usb0="00000000" w:usb1="00000000" w:usb2="00000000" w:usb3="00000000" w:csb0="00000000" w:csb1="00000000"/>
  </w:font>
  <w:font w:name="FSGB2312B">
    <w:panose1 w:val="02010604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ADCC"/>
    <w:multiLevelType w:val="singleLevel"/>
    <w:tmpl w:val="0C42AD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53055AE"/>
    <w:rsid w:val="06D253B6"/>
    <w:rsid w:val="08783DEC"/>
    <w:rsid w:val="09FE47E4"/>
    <w:rsid w:val="0BFA5C3A"/>
    <w:rsid w:val="0DC54E2A"/>
    <w:rsid w:val="0E5F44E3"/>
    <w:rsid w:val="0FCD3895"/>
    <w:rsid w:val="112215EA"/>
    <w:rsid w:val="13CD012B"/>
    <w:rsid w:val="14F27D13"/>
    <w:rsid w:val="151137F8"/>
    <w:rsid w:val="17960DD3"/>
    <w:rsid w:val="18500332"/>
    <w:rsid w:val="18DA39B1"/>
    <w:rsid w:val="19073446"/>
    <w:rsid w:val="1D5049C9"/>
    <w:rsid w:val="1F1B67E8"/>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BBF0DA2"/>
    <w:rsid w:val="3C8B20FD"/>
    <w:rsid w:val="3D453069"/>
    <w:rsid w:val="419E60A2"/>
    <w:rsid w:val="42A61433"/>
    <w:rsid w:val="451965FD"/>
    <w:rsid w:val="46E83350"/>
    <w:rsid w:val="46E84A7C"/>
    <w:rsid w:val="49BA3657"/>
    <w:rsid w:val="4B175F93"/>
    <w:rsid w:val="4B4432C6"/>
    <w:rsid w:val="4C1315E7"/>
    <w:rsid w:val="4E940210"/>
    <w:rsid w:val="50221E3A"/>
    <w:rsid w:val="50D973B7"/>
    <w:rsid w:val="513A1EA6"/>
    <w:rsid w:val="51501067"/>
    <w:rsid w:val="51CC4D42"/>
    <w:rsid w:val="524A1BBA"/>
    <w:rsid w:val="52C84BF7"/>
    <w:rsid w:val="54547134"/>
    <w:rsid w:val="56C85F93"/>
    <w:rsid w:val="57C64365"/>
    <w:rsid w:val="59BE6732"/>
    <w:rsid w:val="5A6332BB"/>
    <w:rsid w:val="5B104C50"/>
    <w:rsid w:val="5C820D83"/>
    <w:rsid w:val="5CD8363E"/>
    <w:rsid w:val="5DC107C4"/>
    <w:rsid w:val="5E4D1CCF"/>
    <w:rsid w:val="5E7457AE"/>
    <w:rsid w:val="5F324BBD"/>
    <w:rsid w:val="5F800338"/>
    <w:rsid w:val="60153310"/>
    <w:rsid w:val="60CF277C"/>
    <w:rsid w:val="6330588A"/>
    <w:rsid w:val="64F051ED"/>
    <w:rsid w:val="651B3DA7"/>
    <w:rsid w:val="65F525E1"/>
    <w:rsid w:val="66346F74"/>
    <w:rsid w:val="69C83CAB"/>
    <w:rsid w:val="6AAB5F04"/>
    <w:rsid w:val="6B766472"/>
    <w:rsid w:val="723F510A"/>
    <w:rsid w:val="727D6141"/>
    <w:rsid w:val="732E6FC8"/>
    <w:rsid w:val="74EE1477"/>
    <w:rsid w:val="75BD69F3"/>
    <w:rsid w:val="77FD6744"/>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10</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2021-09-08T07:18:16Z</cp:lastPrinted>
  <dcterms:modified xsi:type="dcterms:W3CDTF">2021-09-08T07:21:11Z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B4C03CCFBC2C451D8C14BFDF0F62B467</vt:lpwstr>
  </property>
</Properties>
</file>