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深圳市猎达建筑劳务有限公司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黄红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91440300MA5GATM12H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深圳市罗湖区清水河街道清水河社区泥岗东路1116号红岗花园3栋206</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27日对你单位进行了检查，发现你单位实施了以下环境违法行为：2021年7月27日00时44分，我局执法人员在执法检查时，发现你单位作为施工单位在深圳市南山区沿河路西丽水质净化厂旁的白芒河流域水环境综合治理工程（水质保障部分）排水箱涵出口与大沙河衔接段工程施工中，存在在城市建成区内进行产生环境噪声的挖土建筑施工作业的环境</w:t>
      </w:r>
      <w:bookmarkStart w:id="0" w:name="_GoBack"/>
      <w:bookmarkEnd w:id="0"/>
      <w:r>
        <w:rPr>
          <w:rFonts w:hint="eastAsia" w:ascii="仿宋_GB2312" w:hAnsi="仿宋_GB2312" w:eastAsia="仿宋_GB2312" w:cs="仿宋_GB2312"/>
          <w:kern w:val="0"/>
          <w:sz w:val="28"/>
          <w:szCs w:val="28"/>
          <w:u w:val="none"/>
        </w:rPr>
        <w:t xml:space="preserve">违法行为，现场调查时发现使用了铲车等施工设备。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复印件、法人授权委托书、情况说明、中标通知书复印件、《扩大劳务分包合同》复印件等证据为凭。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899482D"/>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2021-09-01T01:27:26Z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