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江苏省江建集团有限公司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鲍玉龙</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91321012608797601X</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扬州市江都区引江路11号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15日对你单位进行了检查，发现你单位实施了以下环境违法行为：2021年8月15日02时33分，我局执法人员在执法检查时，发现你单位作为施工单位在深圳市南山区南山街道，北临东滨路、东临荔景路、南临荔林公园的柏悦湾商务中心主体工</w:t>
      </w:r>
      <w:bookmarkStart w:id="1" w:name="_GoBack"/>
      <w:bookmarkEnd w:id="1"/>
      <w:r>
        <w:rPr>
          <w:rFonts w:hint="eastAsia" w:ascii="仿宋_GB2312" w:hAnsi="仿宋_GB2312" w:eastAsia="仿宋_GB2312" w:cs="仿宋_GB2312"/>
          <w:kern w:val="0"/>
          <w:sz w:val="28"/>
          <w:szCs w:val="28"/>
          <w:u w:val="none"/>
        </w:rPr>
        <w:t xml:space="preserve">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5060163"/>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