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当事人名称：娄底市盛鑫建筑劳务有限公司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韩志俊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91431321MA4PGL781T</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rPr>
        <w:t>湖南省娄底市双峰县青树坪镇青树村第四村民组</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我局执法人员于2021年8月17日对你单位进行了检查，发现你单位实施了以下环境违法行为：2021年8月17日00时39分，我局执法人员在执法检查时，发现你单位作为施工单位在深圳市南山区蛇口街道湾厦路渔</w:t>
      </w:r>
      <w:bookmarkStart w:id="0" w:name="_GoBack"/>
      <w:bookmarkEnd w:id="0"/>
      <w:r>
        <w:rPr>
          <w:rFonts w:hint="eastAsia" w:ascii="仿宋_GB2312" w:hAnsi="仿宋_GB2312" w:eastAsia="仿宋_GB2312" w:cs="仿宋_GB2312"/>
          <w:kern w:val="0"/>
          <w:sz w:val="28"/>
          <w:szCs w:val="28"/>
          <w:u w:val="none"/>
        </w:rPr>
        <w:t xml:space="preserve">人码头的蛇口渔人码头-南山区蛇口街道西岸更新单元项目一期施工总承包工程建设工程施工结构劳务分包工程施工中，存在未取得生态环境主管部门出具的夜间作业证明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法人授权委托书、《中标通知书》、《结构劳务分包合同》复印件等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9BC7A4D"/>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2021-09-01T01:26:16Z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