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当事人名称：四川铭珏建筑劳务有限公司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吴永华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rPr>
        <w:t>四川省绵阳市三台县北坝镇耀森花园</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我局执法人员于2021年11月6日对你单位进行了检查，发现你单位实施了以下环境违法行为：2021年11月6日01时09分，我局执法</w:t>
      </w:r>
      <w:bookmarkStart w:id="1" w:name="_GoBack"/>
      <w:bookmarkEnd w:id="1"/>
      <w:r>
        <w:rPr>
          <w:rFonts w:hint="eastAsia" w:ascii="仿宋_GB2312" w:hAnsi="仿宋_GB2312" w:eastAsia="仿宋_GB2312" w:cs="仿宋_GB2312"/>
          <w:kern w:val="0"/>
          <w:sz w:val="28"/>
          <w:szCs w:val="28"/>
          <w:u w:val="none"/>
        </w:rPr>
        <w:t xml:space="preserve">人员在执法检查时，发现你单位作为施工单位在深圳市南山区后海中心区的SZX-GF01字节跳动后海中心项目地基工程基坑支护劳务分包工程施工中，存在未取得生态环境主管部门出具的夜间作业证明在夜间进行产生环境噪声的混凝土浇筑及养护（浇筑砼过程中配合地泵泵管接驳安拆）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法人授权委托书、《建筑业企业资质证书》、中标通知书复印件、工程开工令复印件、安全监理日记、《基坑支护劳务分包合同》复印件等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10D0437"/>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2021-11-24T08:13:03Z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