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广东龙湘建设工程有限公司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刘婷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91441900MA4UTLLG1A</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eastAsia="zh-CN"/>
        </w:rPr>
        <w:t>东莞市东城街道主山高田坊莞温路南100号聚富商业中心A栋3楼318单元</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20日对你单位进行了检查，发现你单位实施了以下环境违法行为：2021年10月20日00时24分，我局执法人员在执法检查时，发现你单位作为施工单位在深圳市南山区招商街道望海路与工业一路交汇处的深圳市望海路微波山隧道工程隧道弃渣</w:t>
      </w:r>
      <w:bookmarkStart w:id="0" w:name="_GoBack"/>
      <w:bookmarkEnd w:id="0"/>
      <w:r>
        <w:rPr>
          <w:rFonts w:hint="eastAsia" w:ascii="仿宋_GB2312" w:hAnsi="仿宋_GB2312" w:eastAsia="仿宋_GB2312" w:cs="仿宋_GB2312"/>
          <w:kern w:val="0"/>
          <w:sz w:val="28"/>
          <w:szCs w:val="28"/>
          <w:u w:val="none"/>
        </w:rPr>
        <w:t xml:space="preserve">工程施工中，存在夜间在城市建成区内进行产生环境噪声的挖土建筑施工作业的环境违法行为，现场调查时发现使用了挖机和泥头车等施工设备。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复印件、法人授权委托书、中标结果通知、监理日志、情况说明、《劳务分承包合同》复印件等证据为凭。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4C9485F"/>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2021-11-11T07:58:19Z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