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当事人名称：深圳市众鑫工程服务有限公司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我局执法人员于2021年11月11日对你单位进</w:t>
      </w:r>
      <w:bookmarkStart w:id="1" w:name="_GoBack"/>
      <w:bookmarkEnd w:id="1"/>
      <w:r>
        <w:rPr>
          <w:rFonts w:hint="eastAsia" w:ascii="仿宋_GB2312" w:hAnsi="仿宋_GB2312" w:eastAsia="仿宋_GB2312" w:cs="仿宋_GB2312"/>
          <w:kern w:val="0"/>
          <w:sz w:val="28"/>
          <w:szCs w:val="28"/>
          <w:u w:val="none"/>
        </w:rPr>
        <w:t xml:space="preserve">行了检查，发现你单位实施了以下环境违法行为：2021年11月11日3时13分，我局执法人员在执法检查时，发现你单位作为施工单位在深圳市南山区打石二路与同发南路（规划路）交叉口的深圳市城市轨道交通13号线工程施工总承包-七工区石鼓站零星劳务分包工程施工中，存在夜间在城市建成区内进行产生环境噪声的钢筋加工、搬运建材等零星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复印件、法人授权委托书、中标通知书复印件、施工日志、《深圳市城市轨道交通13号线工程施工总承包-七工区石鼓站零星劳务分包工程合同》复印件等证据为凭。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20E2C01"/>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CB034D"/>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