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overflowPunct/>
        <w:topLinePunct w:val="0"/>
        <w:bidi w:val="0"/>
        <w:snapToGrid/>
        <w:spacing w:line="360" w:lineRule="auto"/>
        <w:jc w:val="center"/>
        <w:textAlignment w:val="auto"/>
        <w:outlineLvl w:val="9"/>
        <w:rPr>
          <w:rFonts w:hint="eastAsia" w:ascii="方正小标宋简体" w:hAnsi="方正小标宋简体" w:eastAsia="方正小标宋简体" w:cs="方正小标宋简体"/>
          <w:b w:val="0"/>
          <w:bCs w:val="0"/>
          <w:sz w:val="44"/>
          <w:szCs w:val="44"/>
        </w:rPr>
      </w:pPr>
      <w:r>
        <w:rPr>
          <w:rFonts w:hint="eastAsia" w:ascii="方正小标宋简体" w:hAnsi="方正小标宋简体" w:eastAsia="方正小标宋简体" w:cs="方正小标宋简体"/>
          <w:b w:val="0"/>
          <w:bCs w:val="0"/>
          <w:color w:val="000000"/>
          <w:sz w:val="44"/>
          <w:szCs w:val="44"/>
        </w:rPr>
        <w:t>深圳市生态环境局南山管理局</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方正小标宋简体" w:hAnsi="方正小标宋简体" w:eastAsia="方正小标宋简体" w:cs="方正小标宋简体"/>
          <w:b w:val="0"/>
          <w:bCs w:val="0"/>
          <w:color w:val="000000"/>
          <w:sz w:val="44"/>
          <w:szCs w:val="44"/>
        </w:rPr>
      </w:pPr>
      <w:r>
        <w:rPr>
          <w:rFonts w:hint="eastAsia" w:ascii="方正小标宋简体" w:hAnsi="方正小标宋简体" w:eastAsia="方正小标宋简体" w:cs="方正小标宋简体"/>
          <w:b w:val="0"/>
          <w:bCs w:val="0"/>
          <w:color w:val="000000"/>
          <w:sz w:val="44"/>
          <w:szCs w:val="44"/>
        </w:rPr>
        <w:t>责令改正违法行为决定书</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r>
        <w:rPr>
          <w:rFonts w:hint="eastAsia" w:ascii="仿宋_GB2312" w:hAnsi="仿宋_GB2312" w:eastAsia="仿宋_GB2312" w:cs="仿宋_GB2312"/>
          <w:kern w:val="0"/>
          <w:sz w:val="28"/>
          <w:szCs w:val="28"/>
        </w:rPr>
        <w:t>深环</w:t>
      </w:r>
      <w:r>
        <w:rPr>
          <w:rFonts w:hint="eastAsia" w:ascii="仿宋_GB2312" w:hAnsi="仿宋_GB2312" w:eastAsia="仿宋_GB2312" w:cs="仿宋_GB2312"/>
          <w:kern w:val="0"/>
          <w:sz w:val="28"/>
          <w:szCs w:val="28"/>
          <w:lang w:eastAsia="zh-CN"/>
        </w:rPr>
        <w:t>南山</w:t>
      </w:r>
      <w:r>
        <w:rPr>
          <w:rFonts w:hint="eastAsia" w:ascii="仿宋_GB2312" w:hAnsi="仿宋_GB2312" w:eastAsia="仿宋_GB2312" w:cs="仿宋_GB2312"/>
          <w:kern w:val="0"/>
          <w:sz w:val="28"/>
          <w:szCs w:val="28"/>
        </w:rPr>
        <w:t>责改字</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rPr>
        <w:t>20</w:t>
      </w:r>
      <w:r>
        <w:rPr>
          <w:rFonts w:hint="eastAsia" w:ascii="仿宋_GB2312" w:hAnsi="仿宋_GB2312" w:eastAsia="仿宋_GB2312" w:cs="仿宋_GB2312"/>
          <w:b w:val="0"/>
          <w:bCs/>
          <w:kern w:val="0"/>
          <w:sz w:val="28"/>
          <w:szCs w:val="28"/>
          <w:lang w:val="en-US" w:eastAsia="zh-CN"/>
        </w:rPr>
        <w:t>21</w:t>
      </w:r>
      <w:r>
        <w:rPr>
          <w:rFonts w:hint="eastAsia" w:ascii="宋体" w:hAnsi="宋体" w:eastAsia="宋体" w:cs="宋体"/>
          <w:kern w:val="0"/>
          <w:sz w:val="28"/>
          <w:szCs w:val="28"/>
        </w:rPr>
        <w:t>〕</w:t>
      </w:r>
      <w:r>
        <w:rPr>
          <w:rFonts w:hint="eastAsia" w:ascii="仿宋_GB2312" w:hAnsi="仿宋_GB2312" w:eastAsia="仿宋_GB2312" w:cs="仿宋_GB2312"/>
          <w:kern w:val="0"/>
          <w:sz w:val="28"/>
          <w:szCs w:val="28"/>
          <w:lang w:val="en-US" w:eastAsia="zh-CN"/>
        </w:rPr>
        <w:t>384</w:t>
      </w:r>
      <w:r>
        <w:rPr>
          <w:rFonts w:hint="eastAsia" w:ascii="仿宋_GB2312" w:hAnsi="仿宋_GB2312" w:eastAsia="仿宋_GB2312" w:cs="仿宋_GB2312"/>
          <w:kern w:val="0"/>
          <w:sz w:val="28"/>
          <w:szCs w:val="28"/>
        </w:rPr>
        <w:t>号</w:t>
      </w:r>
    </w:p>
    <w:p>
      <w:pPr>
        <w:keepNext w:val="0"/>
        <w:keepLines w:val="0"/>
        <w:pageBreakBefore w:val="0"/>
        <w:overflowPunct/>
        <w:topLinePunct w:val="0"/>
        <w:autoSpaceDE w:val="0"/>
        <w:autoSpaceDN w:val="0"/>
        <w:bidi w:val="0"/>
        <w:adjustRightInd w:val="0"/>
        <w:snapToGrid/>
        <w:spacing w:line="360" w:lineRule="auto"/>
        <w:jc w:val="center"/>
        <w:textAlignment w:val="auto"/>
        <w:outlineLvl w:val="9"/>
        <w:rPr>
          <w:rFonts w:hint="eastAsia" w:ascii="仿宋_GB2312" w:hAnsi="仿宋_GB2312" w:eastAsia="仿宋_GB2312" w:cs="仿宋_GB2312"/>
          <w:kern w:val="0"/>
          <w:sz w:val="28"/>
          <w:szCs w:val="28"/>
        </w:rPr>
      </w:pP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当事人名称：</w:t>
      </w:r>
      <w:r>
        <w:rPr>
          <w:rFonts w:hint="eastAsia" w:ascii="仿宋_GB2312" w:hAnsi="仿宋_GB2312" w:eastAsia="仿宋_GB2312" w:cs="仿宋_GB2312"/>
          <w:kern w:val="0"/>
          <w:sz w:val="28"/>
          <w:szCs w:val="28"/>
          <w:u w:val="none"/>
          <w:lang w:eastAsia="zh-CN"/>
        </w:rPr>
        <w:t>娄底市盛鑫建筑劳务有限公司</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lang w:val="en-US" w:eastAsia="zh-CN"/>
        </w:rPr>
      </w:pPr>
      <w:r>
        <w:rPr>
          <w:rFonts w:hint="eastAsia" w:ascii="仿宋_GB2312" w:hAnsi="仿宋_GB2312" w:eastAsia="仿宋_GB2312" w:cs="仿宋_GB2312"/>
          <w:kern w:val="0"/>
          <w:sz w:val="28"/>
          <w:szCs w:val="28"/>
          <w:u w:val="none"/>
        </w:rPr>
        <w:t>法定代表人/负责人姓名：</w:t>
      </w:r>
      <w:r>
        <w:rPr>
          <w:rFonts w:hint="eastAsia" w:ascii="仿宋_GB2312" w:hAnsi="仿宋_GB2312" w:eastAsia="仿宋_GB2312" w:cs="仿宋_GB2312"/>
          <w:kern w:val="0"/>
          <w:sz w:val="28"/>
          <w:szCs w:val="28"/>
          <w:u w:val="none"/>
          <w:lang w:eastAsia="zh-CN"/>
        </w:rPr>
        <w:t xml:space="preserve">韩志俊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统一社会信用代码：</w:t>
      </w:r>
      <w:r>
        <w:rPr>
          <w:rFonts w:hint="eastAsia" w:ascii="仿宋_GB2312" w:hAnsi="仿宋_GB2312" w:eastAsia="仿宋_GB2312" w:cs="仿宋_GB2312"/>
          <w:kern w:val="0"/>
          <w:sz w:val="28"/>
          <w:szCs w:val="28"/>
          <w:u w:val="none"/>
          <w:lang w:val="en-US" w:eastAsia="zh-CN"/>
        </w:rPr>
        <w:t>91431321MA4PGL781T</w:t>
      </w:r>
      <w:r>
        <w:rPr>
          <w:rFonts w:hint="eastAsia" w:ascii="仿宋_GB2312" w:hAnsi="仿宋_GB2312" w:eastAsia="仿宋_GB2312" w:cs="仿宋_GB2312"/>
          <w:kern w:val="0"/>
          <w:sz w:val="28"/>
          <w:szCs w:val="28"/>
          <w:u w:val="none"/>
          <w:lang w:eastAsia="zh-CN"/>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住所地：</w:t>
      </w:r>
      <w:r>
        <w:rPr>
          <w:rFonts w:hint="eastAsia" w:ascii="仿宋_GB2312" w:hAnsi="仿宋_GB2312" w:eastAsia="仿宋_GB2312" w:cs="仿宋_GB2312"/>
          <w:kern w:val="0"/>
          <w:sz w:val="28"/>
          <w:szCs w:val="28"/>
          <w:u w:val="none"/>
          <w:lang w:val="en-US" w:eastAsia="zh-CN"/>
        </w:rPr>
        <w:t xml:space="preserve">湖南省娄底市双峰县青树坪镇青树村第四村民组 </w:t>
      </w:r>
      <w:r>
        <w:rPr>
          <w:rFonts w:hint="eastAsia" w:ascii="仿宋_GB2312" w:hAnsi="仿宋_GB2312" w:eastAsia="仿宋_GB2312" w:cs="仿宋_GB2312"/>
          <w:kern w:val="0"/>
          <w:sz w:val="28"/>
          <w:szCs w:val="28"/>
          <w:u w:val="none"/>
        </w:rPr>
        <w:t xml:space="preserve">                                                               </w:t>
      </w:r>
    </w:p>
    <w:p>
      <w:pPr>
        <w:keepNext w:val="0"/>
        <w:keepLines w:val="0"/>
        <w:pageBreakBefore w:val="0"/>
        <w:widowControl w:val="0"/>
        <w:kinsoku/>
        <w:wordWrap/>
        <w:overflowPunct/>
        <w:topLinePunct w:val="0"/>
        <w:autoSpaceDE w:val="0"/>
        <w:autoSpaceDN w:val="0"/>
        <w:bidi w:val="0"/>
        <w:adjustRightInd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执法人员于2021年11月29日对你单位进行了检查，发现你单位实施了以下环境违法行为：2021年11月29日01时18分，我局执法人员在执法检查时，发现你单位作为施工单位在深圳市南山区蛇口街道湾厦渔人码头的蛇口渔人码头-南山区蛇口街道西岸更新单元项目一期施工总承包工程劳务分包工程施工中，存在夜间在城市建成区内进行产生环境噪声的场地内部临时通道破除建筑施工作业的环境违法行为，现场调查时发现使用了炮机和挖掘机等施工设备。</w:t>
      </w:r>
      <w:bookmarkStart w:id="0" w:name="_GoBack"/>
      <w:bookmarkEnd w:id="0"/>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以上事实有现场检查</w:t>
      </w:r>
      <w:r>
        <w:rPr>
          <w:rFonts w:hint="eastAsia" w:ascii="仿宋_GB2312" w:hAnsi="仿宋_GB2312" w:eastAsia="仿宋_GB2312" w:cs="仿宋_GB2312"/>
          <w:kern w:val="0"/>
          <w:sz w:val="28"/>
          <w:szCs w:val="28"/>
          <w:u w:val="none"/>
          <w:lang w:eastAsia="zh-CN"/>
        </w:rPr>
        <w:t>（勘察）</w:t>
      </w:r>
      <w:r>
        <w:rPr>
          <w:rFonts w:hint="eastAsia" w:ascii="仿宋_GB2312" w:hAnsi="仿宋_GB2312" w:eastAsia="仿宋_GB2312" w:cs="仿宋_GB2312"/>
          <w:kern w:val="0"/>
          <w:sz w:val="28"/>
          <w:szCs w:val="28"/>
          <w:u w:val="none"/>
        </w:rPr>
        <w:t>笔录、现场照片</w:t>
      </w:r>
      <w:r>
        <w:rPr>
          <w:rFonts w:hint="eastAsia" w:ascii="仿宋_GB2312" w:hAnsi="仿宋_GB2312" w:eastAsia="仿宋_GB2312" w:cs="仿宋_GB2312"/>
          <w:kern w:val="0"/>
          <w:sz w:val="28"/>
          <w:szCs w:val="28"/>
          <w:u w:val="none"/>
          <w:lang w:eastAsia="zh-CN"/>
        </w:rPr>
        <w:t>和视频</w:t>
      </w:r>
      <w:r>
        <w:rPr>
          <w:rFonts w:hint="eastAsia" w:ascii="仿宋_GB2312" w:hAnsi="仿宋_GB2312" w:eastAsia="仿宋_GB2312" w:cs="仿宋_GB2312"/>
          <w:kern w:val="0"/>
          <w:sz w:val="28"/>
          <w:szCs w:val="28"/>
          <w:u w:val="none"/>
        </w:rPr>
        <w:t>、调查询问笔录，以及当事人提供的身份证复印件、</w:t>
      </w:r>
      <w:r>
        <w:rPr>
          <w:rFonts w:hint="eastAsia" w:ascii="仿宋_GB2312" w:hAnsi="仿宋_GB2312" w:eastAsia="仿宋_GB2312" w:cs="仿宋_GB2312"/>
          <w:kern w:val="0"/>
          <w:sz w:val="28"/>
          <w:szCs w:val="28"/>
          <w:u w:val="none"/>
          <w:lang w:val="en-US" w:eastAsia="zh-CN"/>
        </w:rPr>
        <w:t>营业执照</w:t>
      </w:r>
      <w:r>
        <w:rPr>
          <w:rFonts w:hint="eastAsia" w:ascii="仿宋_GB2312" w:hAnsi="仿宋_GB2312" w:eastAsia="仿宋_GB2312" w:cs="仿宋_GB2312"/>
          <w:kern w:val="0"/>
          <w:sz w:val="28"/>
          <w:szCs w:val="28"/>
          <w:u w:val="none"/>
        </w:rPr>
        <w:t>复印件、法人授权委托书、中标通知书、情况说明、监理日志、《劳务分包合同》等证据为凭。</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你单位上述行为违反了：</w:t>
      </w:r>
      <w:r>
        <w:rPr>
          <w:rFonts w:hint="eastAsia" w:ascii="仿宋_GB2312" w:hAnsi="仿宋_GB2312" w:eastAsia="仿宋_GB2312" w:cs="仿宋_GB2312"/>
          <w:kern w:val="0"/>
          <w:sz w:val="28"/>
          <w:szCs w:val="28"/>
          <w:u w:val="none"/>
          <w:lang w:eastAsia="zh-CN"/>
        </w:rPr>
        <w:t>《深圳经济特区环境噪声污染防治条例》第</w:t>
      </w:r>
      <w:r>
        <w:rPr>
          <w:rFonts w:hint="eastAsia" w:ascii="仿宋_GB2312" w:hAnsi="仿宋_GB2312" w:eastAsia="仿宋_GB2312" w:cs="仿宋_GB2312"/>
          <w:kern w:val="0"/>
          <w:sz w:val="28"/>
          <w:szCs w:val="28"/>
          <w:u w:val="none"/>
          <w:lang w:val="en-US" w:eastAsia="zh-CN"/>
        </w:rPr>
        <w:t>二十八</w:t>
      </w:r>
      <w:r>
        <w:rPr>
          <w:rFonts w:hint="eastAsia" w:ascii="仿宋_GB2312" w:hAnsi="仿宋_GB2312" w:eastAsia="仿宋_GB2312" w:cs="仿宋_GB2312"/>
          <w:kern w:val="0"/>
          <w:sz w:val="28"/>
          <w:szCs w:val="28"/>
          <w:u w:val="none"/>
          <w:lang w:eastAsia="zh-CN"/>
        </w:rPr>
        <w:t>条第</w:t>
      </w:r>
      <w:r>
        <w:rPr>
          <w:rFonts w:hint="eastAsia" w:ascii="仿宋_GB2312" w:hAnsi="仿宋_GB2312" w:eastAsia="仿宋_GB2312" w:cs="仿宋_GB2312"/>
          <w:kern w:val="0"/>
          <w:sz w:val="28"/>
          <w:szCs w:val="28"/>
          <w:u w:val="none"/>
          <w:lang w:val="en-US" w:eastAsia="zh-CN"/>
        </w:rPr>
        <w:t>一</w:t>
      </w:r>
      <w:r>
        <w:rPr>
          <w:rFonts w:hint="eastAsia" w:ascii="仿宋_GB2312" w:hAnsi="仿宋_GB2312" w:eastAsia="仿宋_GB2312" w:cs="仿宋_GB2312"/>
          <w:kern w:val="0"/>
          <w:sz w:val="28"/>
          <w:szCs w:val="28"/>
          <w:u w:val="none"/>
          <w:lang w:eastAsia="zh-CN"/>
        </w:rPr>
        <w:t>款</w:t>
      </w:r>
      <w:r>
        <w:rPr>
          <w:rFonts w:hint="eastAsia" w:ascii="仿宋_GB2312" w:hAnsi="仿宋_GB2312" w:eastAsia="仿宋_GB2312" w:cs="仿宋_GB2312"/>
          <w:kern w:val="0"/>
          <w:sz w:val="28"/>
          <w:szCs w:val="28"/>
          <w:u w:val="none"/>
        </w:rPr>
        <w:t>的规定。</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依据</w:t>
      </w:r>
      <w:r>
        <w:rPr>
          <w:rFonts w:hint="eastAsia" w:ascii="仿宋_GB2312" w:hAnsi="仿宋_GB2312" w:eastAsia="仿宋_GB2312" w:cs="仿宋_GB2312"/>
          <w:kern w:val="0"/>
          <w:sz w:val="28"/>
          <w:szCs w:val="28"/>
          <w:u w:val="none"/>
          <w:lang w:eastAsia="zh-CN"/>
        </w:rPr>
        <w:t>《深圳经济特区环境噪声污染防治条例》第七十</w:t>
      </w:r>
      <w:r>
        <w:rPr>
          <w:rFonts w:hint="eastAsia" w:ascii="仿宋_GB2312" w:hAnsi="仿宋_GB2312" w:eastAsia="仿宋_GB2312" w:cs="仿宋_GB2312"/>
          <w:kern w:val="0"/>
          <w:sz w:val="28"/>
          <w:szCs w:val="28"/>
          <w:u w:val="none"/>
          <w:lang w:val="en-US" w:eastAsia="zh-CN"/>
        </w:rPr>
        <w:t>七</w:t>
      </w:r>
      <w:r>
        <w:rPr>
          <w:rFonts w:hint="eastAsia" w:ascii="仿宋_GB2312" w:hAnsi="仿宋_GB2312" w:eastAsia="仿宋_GB2312" w:cs="仿宋_GB2312"/>
          <w:kern w:val="0"/>
          <w:sz w:val="28"/>
          <w:szCs w:val="28"/>
          <w:u w:val="none"/>
          <w:lang w:eastAsia="zh-CN"/>
        </w:rPr>
        <w:t>条第一款第（</w:t>
      </w:r>
      <w:r>
        <w:rPr>
          <w:rFonts w:hint="eastAsia" w:ascii="仿宋_GB2312" w:hAnsi="仿宋_GB2312" w:eastAsia="仿宋_GB2312" w:cs="仿宋_GB2312"/>
          <w:kern w:val="0"/>
          <w:sz w:val="28"/>
          <w:szCs w:val="28"/>
          <w:u w:val="none"/>
          <w:lang w:val="en-US" w:eastAsia="zh-CN"/>
        </w:rPr>
        <w:t>三</w:t>
      </w:r>
      <w:r>
        <w:rPr>
          <w:rFonts w:hint="eastAsia" w:ascii="仿宋_GB2312" w:hAnsi="仿宋_GB2312" w:eastAsia="仿宋_GB2312" w:cs="仿宋_GB2312"/>
          <w:kern w:val="0"/>
          <w:sz w:val="28"/>
          <w:szCs w:val="28"/>
          <w:u w:val="none"/>
          <w:lang w:eastAsia="zh-CN"/>
        </w:rPr>
        <w:t>）项</w:t>
      </w:r>
      <w:r>
        <w:rPr>
          <w:rFonts w:hint="eastAsia" w:ascii="仿宋_GB2312" w:hAnsi="仿宋_GB2312" w:eastAsia="仿宋_GB2312" w:cs="仿宋_GB2312"/>
          <w:kern w:val="0"/>
          <w:sz w:val="28"/>
          <w:szCs w:val="28"/>
          <w:u w:val="none"/>
        </w:rPr>
        <w:t>的规定，现责令你单位</w:t>
      </w:r>
      <w:r>
        <w:rPr>
          <w:rFonts w:hint="eastAsia" w:ascii="仿宋_GB2312" w:hAnsi="仿宋_GB2312" w:eastAsia="仿宋_GB2312" w:cs="仿宋_GB2312"/>
          <w:kern w:val="0"/>
          <w:sz w:val="28"/>
          <w:szCs w:val="28"/>
          <w:u w:val="none"/>
          <w:lang w:eastAsia="zh-CN"/>
        </w:rPr>
        <w:t>立即停止违法行为</w:t>
      </w:r>
      <w:r>
        <w:rPr>
          <w:rFonts w:hint="eastAsia" w:ascii="仿宋_GB2312" w:hAnsi="仿宋_GB2312" w:eastAsia="仿宋_GB2312" w:cs="仿宋_GB2312"/>
          <w:kern w:val="0"/>
          <w:sz w:val="28"/>
          <w:szCs w:val="28"/>
          <w:u w:val="none"/>
        </w:rPr>
        <w:t>。</w:t>
      </w:r>
    </w:p>
    <w:p>
      <w:pPr>
        <w:keepNext w:val="0"/>
        <w:keepLines w:val="0"/>
        <w:pageBreakBefore w:val="0"/>
        <w:widowControl/>
        <w:kinsoku w:val="0"/>
        <w:wordWrap/>
        <w:overflowPunct/>
        <w:topLinePunct w:val="0"/>
        <w:autoSpaceDE w:val="0"/>
        <w:autoSpaceDN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上述违法行为属于应依法直接给予行政处罚的情形，对该违法行为的处罚不以整改结果为前提条件。</w:t>
      </w:r>
    </w:p>
    <w:p>
      <w:pPr>
        <w:keepNext w:val="0"/>
        <w:keepLines w:val="0"/>
        <w:pageBreakBefore w:val="0"/>
        <w:widowControl/>
        <w:wordWrap/>
        <w:overflowPunct/>
        <w:topLinePunct w:val="0"/>
        <w:bidi w:val="0"/>
        <w:snapToGrid/>
        <w:spacing w:line="360" w:lineRule="auto"/>
        <w:ind w:firstLine="560" w:firstLineChars="200"/>
        <w:jc w:val="left"/>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我局将自本决定书送达之日起三十日内对你单位违法行为的改正情况实施复查。若复查时发现你单位拒不改正的，我局可依法采取法律</w:t>
      </w:r>
      <w:r>
        <w:rPr>
          <w:rFonts w:hint="eastAsia" w:ascii="仿宋_GB2312" w:hAnsi="仿宋_GB2312" w:eastAsia="仿宋_GB2312" w:cs="仿宋_GB2312"/>
          <w:kern w:val="0"/>
          <w:sz w:val="28"/>
          <w:szCs w:val="28"/>
          <w:u w:val="none"/>
          <w:lang w:eastAsia="zh-CN"/>
        </w:rPr>
        <w:t>法规</w:t>
      </w:r>
      <w:r>
        <w:rPr>
          <w:rFonts w:hint="eastAsia" w:ascii="仿宋_GB2312" w:hAnsi="仿宋_GB2312" w:eastAsia="仿宋_GB2312" w:cs="仿宋_GB2312"/>
          <w:kern w:val="0"/>
          <w:sz w:val="28"/>
          <w:szCs w:val="28"/>
          <w:u w:val="none"/>
        </w:rPr>
        <w:t>赋予生态环境部门的监管措施：</w:t>
      </w:r>
      <w:r>
        <w:rPr>
          <w:rFonts w:hint="eastAsia" w:ascii="仿宋_GB2312" w:hAnsi="仿宋_GB2312" w:eastAsia="仿宋_GB2312" w:cs="仿宋_GB2312"/>
          <w:kern w:val="0"/>
          <w:sz w:val="28"/>
          <w:szCs w:val="28"/>
          <w:u w:val="none"/>
          <w:lang w:val="en-US" w:eastAsia="zh-CN"/>
        </w:rPr>
        <w:t xml:space="preserve">1.依据《深圳经济特区生态环境保护条例》第一百二十六条规定，依法对有关设施、设备和场所实施查封、扣押；2.依法采取法律法规规定的其他措施。 </w:t>
      </w:r>
      <w:r>
        <w:rPr>
          <w:rFonts w:hint="eastAsia" w:ascii="仿宋_GB2312" w:hAnsi="仿宋_GB2312" w:eastAsia="仿宋_GB2312" w:cs="仿宋_GB2312"/>
          <w:kern w:val="0"/>
          <w:sz w:val="28"/>
          <w:szCs w:val="28"/>
          <w:u w:val="none"/>
        </w:rPr>
        <w:t xml:space="preserve"> </w:t>
      </w:r>
    </w:p>
    <w:p>
      <w:pPr>
        <w:keepNext w:val="0"/>
        <w:keepLines w:val="0"/>
        <w:pageBreakBefore w:val="0"/>
        <w:wordWrap/>
        <w:overflowPunct/>
        <w:topLinePunct w:val="0"/>
        <w:autoSpaceDE w:val="0"/>
        <w:autoSpaceDN w:val="0"/>
        <w:bidi w:val="0"/>
        <w:adjustRightInd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你单位在我局实施复查前，可以向我局报告整改情况，并附具相关证明材料。</w:t>
      </w:r>
    </w:p>
    <w:p>
      <w:pPr>
        <w:keepNext w:val="0"/>
        <w:keepLines w:val="0"/>
        <w:pageBreakBefore w:val="0"/>
        <w:wordWrap/>
        <w:overflowPunct/>
        <w:topLinePunct w:val="0"/>
        <w:bidi w:val="0"/>
        <w:snapToGrid/>
        <w:spacing w:line="360" w:lineRule="auto"/>
        <w:ind w:firstLine="560" w:firstLineChars="200"/>
        <w:textAlignment w:val="auto"/>
        <w:outlineLvl w:val="9"/>
        <w:rPr>
          <w:rFonts w:hint="eastAsia" w:ascii="仿宋_GB2312" w:hAnsi="仿宋_GB2312" w:eastAsia="仿宋_GB2312" w:cs="仿宋_GB2312"/>
          <w:kern w:val="0"/>
          <w:sz w:val="28"/>
          <w:szCs w:val="28"/>
          <w:u w:val="none"/>
        </w:rPr>
      </w:pPr>
      <w:r>
        <w:rPr>
          <w:rFonts w:hint="eastAsia" w:ascii="仿宋_GB2312" w:hAnsi="仿宋_GB2312" w:eastAsia="仿宋_GB2312" w:cs="仿宋_GB2312"/>
          <w:kern w:val="0"/>
          <w:sz w:val="28"/>
          <w:szCs w:val="28"/>
          <w:u w:val="none"/>
        </w:rPr>
        <w:t>你单位如对本决定不服，可以在收到本决定书之日起六十日内向深圳市人民政府或者深圳市南山区人民政府申请行政复议；也可以在收到本决定书之日起六个月内向深圳市</w:t>
      </w:r>
      <w:r>
        <w:rPr>
          <w:rFonts w:hint="eastAsia" w:ascii="仿宋_GB2312" w:hAnsi="仿宋_GB2312" w:eastAsia="仿宋_GB2312" w:cs="仿宋_GB2312"/>
          <w:kern w:val="0"/>
          <w:sz w:val="28"/>
          <w:szCs w:val="28"/>
          <w:u w:val="none"/>
          <w:lang w:val="en-US" w:eastAsia="zh-CN"/>
        </w:rPr>
        <w:t>龙岗</w:t>
      </w:r>
      <w:r>
        <w:rPr>
          <w:rFonts w:hint="eastAsia" w:ascii="仿宋_GB2312" w:hAnsi="仿宋_GB2312" w:eastAsia="仿宋_GB2312" w:cs="仿宋_GB2312"/>
          <w:kern w:val="0"/>
          <w:sz w:val="28"/>
          <w:szCs w:val="28"/>
          <w:u w:val="none"/>
        </w:rPr>
        <w:t>区人民法院提起行政诉讼。</w:t>
      </w: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p>
    <w:p>
      <w:pPr>
        <w:pStyle w:val="2"/>
        <w:keepNext w:val="0"/>
        <w:keepLines w:val="0"/>
        <w:pageBreakBefore w:val="0"/>
        <w:overflowPunct/>
        <w:topLinePunct w:val="0"/>
        <w:bidi w:val="0"/>
        <w:snapToGrid/>
        <w:spacing w:line="360" w:lineRule="auto"/>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ind w:right="480" w:firstLine="6300" w:firstLineChars="2250"/>
        <w:textAlignment w:val="auto"/>
        <w:outlineLvl w:val="9"/>
        <w:rPr>
          <w:rFonts w:hint="eastAsia" w:ascii="仿宋_GB2312" w:hAnsi="仿宋_GB2312" w:eastAsia="仿宋_GB2312" w:cs="仿宋_GB2312"/>
          <w:sz w:val="28"/>
          <w:szCs w:val="28"/>
        </w:rPr>
      </w:pPr>
    </w:p>
    <w:p>
      <w:pPr>
        <w:keepNext w:val="0"/>
        <w:keepLines w:val="0"/>
        <w:pageBreakBefore w:val="0"/>
        <w:overflowPunct/>
        <w:topLinePunct w:val="0"/>
        <w:bidi w:val="0"/>
        <w:snapToGrid/>
        <w:spacing w:line="360" w:lineRule="auto"/>
        <w:ind w:right="480"/>
        <w:jc w:val="right"/>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深圳市生态环境局南山管理局</w:t>
      </w:r>
    </w:p>
    <w:p>
      <w:pPr>
        <w:keepNext w:val="0"/>
        <w:keepLines w:val="0"/>
        <w:pageBreakBefore w:val="0"/>
        <w:wordWrap w:val="0"/>
        <w:overflowPunct/>
        <w:topLinePunct w:val="0"/>
        <w:bidi w:val="0"/>
        <w:snapToGrid/>
        <w:spacing w:line="360" w:lineRule="auto"/>
        <w:ind w:right="480"/>
        <w:jc w:val="center"/>
        <w:textAlignment w:val="auto"/>
        <w:outlineLvl w:val="9"/>
        <w:rPr>
          <w:rFonts w:hint="eastAsia" w:ascii="仿宋_GB2312" w:hAnsi="仿宋_GB2312" w:eastAsia="仿宋_GB2312" w:cs="仿宋_GB2312"/>
          <w:sz w:val="28"/>
          <w:szCs w:val="28"/>
        </w:rPr>
      </w:pP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u w:val="none"/>
        </w:rPr>
        <w:t xml:space="preserve"> </w:t>
      </w:r>
      <w:r>
        <w:rPr>
          <w:rFonts w:hint="eastAsia" w:ascii="仿宋_GB2312" w:hAnsi="仿宋_GB2312" w:eastAsia="仿宋_GB2312" w:cs="仿宋_GB2312"/>
          <w:sz w:val="28"/>
          <w:szCs w:val="28"/>
          <w:u w:val="none"/>
          <w:lang w:val="en-US" w:eastAsia="zh-CN"/>
        </w:rPr>
        <w:t>2021</w:t>
      </w:r>
      <w:r>
        <w:rPr>
          <w:rFonts w:hint="eastAsia" w:ascii="仿宋_GB2312" w:hAnsi="仿宋_GB2312" w:eastAsia="仿宋_GB2312" w:cs="仿宋_GB2312"/>
          <w:sz w:val="28"/>
          <w:szCs w:val="28"/>
          <w:u w:val="none"/>
        </w:rPr>
        <w:t>年</w:t>
      </w:r>
      <w:r>
        <w:rPr>
          <w:rFonts w:hint="eastAsia" w:ascii="仿宋_GB2312" w:hAnsi="仿宋_GB2312" w:eastAsia="仿宋_GB2312" w:cs="仿宋_GB2312"/>
          <w:sz w:val="28"/>
          <w:szCs w:val="28"/>
          <w:u w:val="none"/>
          <w:lang w:val="en-US" w:eastAsia="zh-CN"/>
        </w:rPr>
        <w:t>12</w:t>
      </w:r>
      <w:r>
        <w:rPr>
          <w:rFonts w:hint="eastAsia" w:ascii="仿宋_GB2312" w:hAnsi="仿宋_GB2312" w:eastAsia="仿宋_GB2312" w:cs="仿宋_GB2312"/>
          <w:sz w:val="28"/>
          <w:szCs w:val="28"/>
          <w:u w:val="none"/>
        </w:rPr>
        <w:t>月</w:t>
      </w:r>
      <w:r>
        <w:rPr>
          <w:rFonts w:hint="eastAsia" w:ascii="仿宋_GB2312" w:hAnsi="仿宋_GB2312" w:eastAsia="仿宋_GB2312" w:cs="仿宋_GB2312"/>
          <w:sz w:val="28"/>
          <w:szCs w:val="28"/>
          <w:u w:val="none"/>
          <w:lang w:val="en-US" w:eastAsia="zh-CN"/>
        </w:rPr>
        <w:t>15</w:t>
      </w:r>
      <w:r>
        <w:rPr>
          <w:rFonts w:hint="eastAsia" w:ascii="仿宋_GB2312" w:hAnsi="仿宋_GB2312" w:eastAsia="仿宋_GB2312" w:cs="仿宋_GB2312"/>
          <w:sz w:val="28"/>
          <w:szCs w:val="28"/>
          <w:u w:val="none"/>
        </w:rPr>
        <w:t>日</w:t>
      </w:r>
      <w:r>
        <w:rPr>
          <w:rFonts w:hint="eastAsia" w:ascii="仿宋_GB2312" w:hAnsi="仿宋_GB2312" w:eastAsia="仿宋_GB2312" w:cs="仿宋_GB2312"/>
          <w:sz w:val="28"/>
          <w:szCs w:val="28"/>
        </w:rPr>
        <w:t xml:space="preserve">    </w:t>
      </w:r>
    </w:p>
    <w:p>
      <w:pPr>
        <w:keepNext w:val="0"/>
        <w:keepLines w:val="0"/>
        <w:pageBreakBefore w:val="0"/>
        <w:overflowPunct/>
        <w:topLinePunct w:val="0"/>
        <w:bidi w:val="0"/>
        <w:snapToGrid/>
        <w:spacing w:line="360" w:lineRule="auto"/>
        <w:textAlignment w:val="auto"/>
        <w:outlineLvl w:val="9"/>
        <w:rPr>
          <w:rFonts w:hint="eastAsia" w:ascii="仿宋_GB2312" w:hAnsi="仿宋_GB2312" w:eastAsia="仿宋_GB2312" w:cs="仿宋_GB2312"/>
          <w:sz w:val="28"/>
          <w:szCs w:val="28"/>
        </w:rPr>
      </w:pPr>
    </w:p>
    <w:sectPr>
      <w:pgSz w:w="11906" w:h="16838"/>
      <w:pgMar w:top="1134" w:right="1134" w:bottom="1021" w:left="1134"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165E5D35"/>
    <w:rsid w:val="01A03F20"/>
    <w:rsid w:val="03C92092"/>
    <w:rsid w:val="040E23D2"/>
    <w:rsid w:val="052A64F6"/>
    <w:rsid w:val="07113DEE"/>
    <w:rsid w:val="075B2CA6"/>
    <w:rsid w:val="07882DD9"/>
    <w:rsid w:val="07C51237"/>
    <w:rsid w:val="0D197DED"/>
    <w:rsid w:val="0DAC60B6"/>
    <w:rsid w:val="0DEC17FF"/>
    <w:rsid w:val="0E6A2000"/>
    <w:rsid w:val="0EAB16E0"/>
    <w:rsid w:val="0F0538EA"/>
    <w:rsid w:val="150A7477"/>
    <w:rsid w:val="154100F1"/>
    <w:rsid w:val="164253ED"/>
    <w:rsid w:val="165E5D35"/>
    <w:rsid w:val="169C6C6A"/>
    <w:rsid w:val="175537C8"/>
    <w:rsid w:val="18592155"/>
    <w:rsid w:val="19CB0B82"/>
    <w:rsid w:val="1A96319D"/>
    <w:rsid w:val="1CA1190E"/>
    <w:rsid w:val="1DCF568E"/>
    <w:rsid w:val="1FB366A6"/>
    <w:rsid w:val="215146FD"/>
    <w:rsid w:val="22437594"/>
    <w:rsid w:val="22986695"/>
    <w:rsid w:val="23610C05"/>
    <w:rsid w:val="24D13031"/>
    <w:rsid w:val="257C3C48"/>
    <w:rsid w:val="2626727A"/>
    <w:rsid w:val="29FE3E97"/>
    <w:rsid w:val="2C720C00"/>
    <w:rsid w:val="2CA05952"/>
    <w:rsid w:val="2CAD2897"/>
    <w:rsid w:val="2E46120B"/>
    <w:rsid w:val="323A1EDF"/>
    <w:rsid w:val="32FC553B"/>
    <w:rsid w:val="365E12C9"/>
    <w:rsid w:val="3A1D4415"/>
    <w:rsid w:val="3DEE6810"/>
    <w:rsid w:val="3E6E5583"/>
    <w:rsid w:val="4059760C"/>
    <w:rsid w:val="411F5222"/>
    <w:rsid w:val="439F340A"/>
    <w:rsid w:val="490F5777"/>
    <w:rsid w:val="49454A23"/>
    <w:rsid w:val="49A803A3"/>
    <w:rsid w:val="4B1B69D6"/>
    <w:rsid w:val="4B840D1D"/>
    <w:rsid w:val="4B9529F8"/>
    <w:rsid w:val="4C8F1D8A"/>
    <w:rsid w:val="4CBB444C"/>
    <w:rsid w:val="50D02BDA"/>
    <w:rsid w:val="52281CAF"/>
    <w:rsid w:val="52DF0458"/>
    <w:rsid w:val="556D115C"/>
    <w:rsid w:val="57C95BA7"/>
    <w:rsid w:val="5A9E6F92"/>
    <w:rsid w:val="5C6063B2"/>
    <w:rsid w:val="61244741"/>
    <w:rsid w:val="61832280"/>
    <w:rsid w:val="64E254D1"/>
    <w:rsid w:val="65530449"/>
    <w:rsid w:val="66360DDF"/>
    <w:rsid w:val="66E810E6"/>
    <w:rsid w:val="6738762E"/>
    <w:rsid w:val="67D071CE"/>
    <w:rsid w:val="6BE0248A"/>
    <w:rsid w:val="6CA70B85"/>
    <w:rsid w:val="6DA67B69"/>
    <w:rsid w:val="6F1E0968"/>
    <w:rsid w:val="6F8118E3"/>
    <w:rsid w:val="6F984502"/>
    <w:rsid w:val="70D504C2"/>
    <w:rsid w:val="759C1555"/>
    <w:rsid w:val="76263BEE"/>
    <w:rsid w:val="76471095"/>
    <w:rsid w:val="770A14D6"/>
    <w:rsid w:val="78C96907"/>
    <w:rsid w:val="790E4056"/>
    <w:rsid w:val="7991326C"/>
    <w:rsid w:val="7C5C1E5B"/>
    <w:rsid w:val="7D7621E3"/>
    <w:rsid w:val="7DC0480E"/>
    <w:rsid w:val="7E3D7BA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1"/>
      <w:lang w:val="en-US" w:eastAsia="zh-CN" w:bidi="ar-SA"/>
    </w:rPr>
  </w:style>
  <w:style w:type="character" w:default="1" w:styleId="4">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HTML Preformatted"/>
    <w:basedOn w:val="1"/>
    <w:qFormat/>
    <w:uiPriority w:val="0"/>
    <w:pPr>
      <w:widowControl/>
      <w:jc w:val="left"/>
    </w:pPr>
    <w:rPr>
      <w:rFonts w:ascii="宋体" w:hAnsi="宋体"/>
      <w:kern w:val="0"/>
      <w:sz w:val="24"/>
      <w:szCs w:val="24"/>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0</TotalTime>
  <ScaleCrop>false</ScaleCrop>
  <LinksUpToDate>false</LinksUpToDate>
  <CharactersWithSpaces>0</CharactersWithSpaces>
  <Application>WPS Office_11.1.0.11115_F1E327BC-269C-435d-A152-05C5408002CA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2020-07-03T06:25:00Z</dcterms:created>
  <dc:creator>梁芷茵</dc:creator>
  <cp:lastModifiedBy>一起来喝冰阔落</cp:lastModifiedBy>
  <cp:lastPrinted>2020-10-29T03:14:00Z</cp:lastPrinted>
  <dcterms:modified xsi:type="dcterms:W3CDTF">2021-12-23T06:59:23Z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2052-11.1.0.11115</vt:lpwstr>
  </property>
  <property fmtid="{D5CDD505-2E9C-101B-9397-08002B2CF9AE}" pid="3" name="ICV">
    <vt:lpwstr>6989ACDA3E1949C59C869731F46DCAB1</vt:lpwstr>
  </property>
</Properties>
</file>