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当事人名称：广州航宇建筑劳务分包有限公司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赵湘川</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91440113331446912C</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广州市番禺区大石街猛涌石南路1号206</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我局执法人员于2021年12月2日对你单位进行了检查，发现你单位实施了以下环境违法行为：2021年12月2日02时29分，我局执法人员在执法检查时，发现你单位作为施工单位在深圳职业技术学院北校区内的深</w:t>
      </w:r>
      <w:bookmarkStart w:id="1" w:name="_GoBack"/>
      <w:bookmarkEnd w:id="1"/>
      <w:r>
        <w:rPr>
          <w:rFonts w:hint="eastAsia" w:ascii="仿宋_GB2312" w:hAnsi="仿宋_GB2312" w:eastAsia="仿宋_GB2312" w:cs="仿宋_GB2312"/>
          <w:kern w:val="0"/>
          <w:sz w:val="28"/>
          <w:szCs w:val="28"/>
          <w:u w:val="none"/>
        </w:rPr>
        <w:t xml:space="preserve">圳职业技术学院北校区项目之二次结构及粗装修工程施工中，存在未取得生态环境主管部门出具的夜间作业证明在夜间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法人授权委托书、安全生产许可证、建筑业企业资质证书、中标通知书、《深圳职业技术学院北校区项目之二次结构及粗装修合同》复印件、监管日报等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3D7FBD"/>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2021-12-29T06:34:06Z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415AE414F76D4CF9B7453C06F2F00AF2</vt:lpwstr>
  </property>
</Properties>
</file>