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399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eastAsia="zh-CN"/>
        </w:rPr>
        <w:t>娄底市盛鑫建筑劳务有限公司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韩志俊</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91431321MA4PGL781T</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湖南省娄底市双峰县青树坪镇青树村第四村民组</w:t>
      </w:r>
      <w:r>
        <w:rPr>
          <w:rFonts w:hint="eastAsia" w:ascii="仿宋_GB2312" w:hAnsi="仿宋_GB2312" w:eastAsia="仿宋_GB2312" w:cs="仿宋_GB2312"/>
          <w:kern w:val="0"/>
          <w:sz w:val="28"/>
          <w:szCs w:val="28"/>
          <w:u w:val="none"/>
          <w:lang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12月15日对你单位进行了检查，发现你单位实施了以下环境违法行为：2021年12月15日01时03分，我局执法人员在执法检查时，发现你单位作为施工单位在深圳市南山区蛇口街道湾厦路渔人码头的蛇口渔人码头-南山区蛇口街道西岸更新单元项目一期施工总承包工程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复印件、法人授权委托书、中标通知书、情况说明、监理日志、《劳务分包合同》等证据为凭。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A717E13"/>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5947E4D"/>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2021-12-29T06:37:11Z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6989ACDA3E1949C59C869731F46DCAB1</vt:lpwstr>
  </property>
</Properties>
</file>