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b w:val="0"/>
          <w:bCs/>
          <w:kern w:val="0"/>
          <w:sz w:val="28"/>
          <w:szCs w:val="28"/>
          <w:lang w:val="en-US" w:eastAsia="zh-CN"/>
        </w:rPr>
        <w:t>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当事人名称：深圳市锦归建筑工程机械设备有限公司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何云林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91440300305809214X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深圳市龙岗区坂田街道中兴路139号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10日对你单位进行了检查，发现你单位实施了以下环境违法行为：2022年1月10日01时59分，我局执法人员在执法检查时，发现你单位作为施工单位在深圳市南山区粤海街道中心大道与创业路交叉口西南角的SZX-GF01字节跳动后海中心项目地基工程土石方挖运劳务</w:t>
      </w:r>
      <w:bookmarkStart w:id="0" w:name="_GoBack"/>
      <w:bookmarkEnd w:id="0"/>
      <w:r>
        <w:rPr>
          <w:rFonts w:hint="eastAsia" w:ascii="仿宋_GB2312" w:hAnsi="仿宋_GB2312" w:eastAsia="仿宋_GB2312" w:cs="仿宋_GB2312"/>
          <w:kern w:val="0"/>
          <w:sz w:val="28"/>
          <w:szCs w:val="28"/>
          <w:u w:val="none"/>
        </w:rPr>
        <w:t xml:space="preserve">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复印件、法人授权委托书、建筑业企业资质证书、安全生产许可证、中标通知书复印件、工程开工令、监理日志、《劳务分包合同》复印件等证据为凭。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7C4553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2022-01-26T01:50:56Z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