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25</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w:t>
      </w:r>
      <w:bookmarkStart w:id="1" w:name="_GoBack"/>
      <w:r>
        <w:rPr>
          <w:rFonts w:hint="eastAsia" w:ascii="仿宋_GB2312" w:hAnsi="仿宋_GB2312" w:eastAsia="仿宋_GB2312" w:cs="仿宋_GB2312"/>
          <w:kern w:val="0"/>
          <w:sz w:val="28"/>
          <w:szCs w:val="28"/>
          <w:u w:val="none"/>
        </w:rPr>
        <w:t>称：四川省绿州建筑劳务有限公司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车安平</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91510108052516228Y</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成都市成华区东风路北一巷11号1幢1层13号</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bookmarkEnd w:id="1"/>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2022年1月21日对你单位进行了检查，发现你单位实施了以下环境违法行为：2022年1月21日03时14分，我局执法人员在执法检查时，发现你单位作为施工单位在深圳市南山区后海中心区的深圳湾文化广场BC地块Ⅱ标段施工总承包工程主体劳务分包工程施工中，存在未取得生态环境主管部门出具的夜间作业证明在夜间进行产生环境噪声的混凝土浇筑建筑施工作业的环境违法行为，现场调查时发现使用了泵车及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法人授权委托书、建筑业企业资质证书、分包工程中标通知书、工程开工令、《劳务分包合同》复印件等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3</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AE87C85"/>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8101D7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2C619E6"/>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2022-03-08T08:09:56Z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415AE414F76D4CF9B7453C06F2F00AF2</vt:lpwstr>
  </property>
</Properties>
</file>