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/>
        <w:ind w:firstLine="660"/>
        <w:jc w:val="both"/>
        <w:rPr>
          <w:rFonts w:hint="eastAsia" w:ascii="华文中宋" w:hAnsi="华文中宋" w:eastAsia="华文中宋" w:cs="Times New Roman"/>
          <w:color w:val="000000"/>
          <w:sz w:val="44"/>
          <w:lang w:val="en-US" w:eastAsia="zh-CN"/>
        </w:rPr>
      </w:pPr>
      <w:r>
        <w:rPr>
          <w:rFonts w:hint="eastAsia" w:ascii="华文中宋" w:hAnsi="华文中宋" w:eastAsia="华文中宋" w:cs="Times New Roman"/>
          <w:color w:val="000000"/>
          <w:sz w:val="44"/>
        </w:rPr>
        <w:t>一般工业固体废物规范化管理档案</w:t>
      </w:r>
      <w:r>
        <w:rPr>
          <w:rFonts w:hint="eastAsia" w:cs="Times New Roman"/>
          <w:color w:val="000000"/>
          <w:sz w:val="44"/>
          <w:lang w:val="en-US" w:eastAsia="zh-CN"/>
        </w:rPr>
        <w:t>指南</w:t>
      </w:r>
    </w:p>
    <w:p>
      <w:pPr>
        <w:pStyle w:val="6"/>
        <w:spacing w:beforeLines="0" w:after="163" w:afterLines="0"/>
        <w:ind w:firstLine="640"/>
        <w:jc w:val="both"/>
        <w:rPr>
          <w:rFonts w:hint="eastAsia" w:ascii="FangSong_GB2312" w:hAnsi="FangSong_GB2312" w:eastAsia="FangSong_GB2312" w:cs="Times New Roman"/>
          <w:color w:val="000000"/>
          <w:sz w:val="32"/>
        </w:rPr>
      </w:pPr>
      <w:r>
        <w:rPr>
          <w:rFonts w:hint="eastAsia" w:ascii="FangSong_GB2312" w:hAnsi="FangSong_GB2312" w:eastAsia="FangSong_GB2312" w:cs="Times New Roman"/>
          <w:color w:val="000000"/>
          <w:sz w:val="32"/>
        </w:rPr>
        <w:t>为贯彻落实《固废法》等法律法规要求，切实提升一般工业固体废物产废单位的规范化管理水平，特制定企业管理档案</w:t>
      </w:r>
      <w:r>
        <w:rPr>
          <w:rFonts w:hint="eastAsia" w:ascii="FangSong_GB2312" w:hAnsi="FangSong_GB2312" w:eastAsia="FangSong_GB2312" w:cs="Times New Roman"/>
          <w:color w:val="000000"/>
          <w:sz w:val="32"/>
          <w:lang w:val="en-US" w:eastAsia="zh-CN"/>
        </w:rPr>
        <w:t>指南</w:t>
      </w:r>
      <w:r>
        <w:rPr>
          <w:rFonts w:hint="eastAsia" w:ascii="FangSong_GB2312" w:hAnsi="FangSong_GB2312" w:eastAsia="FangSong_GB2312" w:cs="Times New Roman"/>
          <w:color w:val="000000"/>
          <w:sz w:val="32"/>
        </w:rPr>
        <w:t>（具体见下表）。企业可根据自身实际情况，参照档案指引的相关要求，制定本企业的一般工业固废管理档案。</w:t>
      </w:r>
    </w:p>
    <w:tbl>
      <w:tblPr>
        <w:tblStyle w:val="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58"/>
        <w:gridCol w:w="2895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</w:rPr>
              <w:t>档案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</w:rPr>
              <w:t>序号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</w:rPr>
              <w:t>具体项目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企业管理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企业基本信息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营业执照等相关企业基本资料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2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一般工业固体废物管理制度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含岗位责任制度、安全操作规程、台账管理制度、培训制度等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3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一般工业固体废物管理架构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列明公司一般工业固体废物的主要管理部门，管理负责人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4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一般工业固体废物的污染防治措施和应急预案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企业对于一般工业固体废物的污染防治措施及应急预案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5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企业生产工艺及产废环节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若在环评文件或排污许可证中已包含，可与其合并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生产工艺及产废情况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6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主要原辅料、产品及一般工业固废产生情况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若在环评文件或排污许可证中已包含，可与其合并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7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一般工业固废鉴别（如有）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固废鉴别单位出具的鉴别报告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一般工业固废管理台账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8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产生台账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产生一般工业固体废物的台账，包括： 固体废物种类，废物名称，数量，产生环节（设备），物理特性，主要成分，经办人，去向等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9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贮存台账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贮存一般工业固体废物的台账，包括： 贮存场所，废物种类，废物名称，进库时间，入库数量，现有贮存量，入库经办人， 出库时间， 出库数量，出库去向，出库经办人等信息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</w:tbl>
    <w:p>
      <w:pPr>
        <w:spacing w:beforeLines="0" w:afterLines="0"/>
        <w:jc w:val="left"/>
        <w:rPr>
          <w:rFonts w:hint="default" w:ascii="Times New Roman" w:hAnsi="Times New Roman" w:cs="Times New Roman"/>
          <w:sz w:val="24"/>
        </w:rPr>
      </w:pPr>
    </w:p>
    <w:tbl>
      <w:tblPr>
        <w:tblStyle w:val="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30"/>
        <w:gridCol w:w="2823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2"/>
              </w:rPr>
              <w:t>档案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2"/>
              </w:rPr>
              <w:t>具体项目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2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10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自行利用、处置台账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自行利用处置一般工业固体废物的台账，包括：废物种类，废物名称，接收数量，接收时间，综合利用/处置方式，产出的产品数量和名称（利用情况填写）。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11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委外利用、处置台账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转移一般工业固体废物的台账资料，包括： 转移时间，转移废物种类，转移重量，远输公司，运输信息（车辆/船舶），接收单位，最终利用处置等信息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一般工业固废贮存情况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12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一般工业固体废物贮存场所情况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包括贮存场所位置，贮存能力，三防情况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一般工业固废转移情况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13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转移合同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包括运输、收集、利用处置合同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14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接收企业的清单及核验材料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列明所有发生过转移的一般工业固体废物接收单位（包括一级、二级直至最终接收单位）及核验情况（要求详见附件2）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15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一般工业固体废物转移证明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如：一般工业固体废物转移联单，出入厂签收凭证，财务往来凭证，最终利用处置证明材料等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环保手续执行情况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16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环境评价文件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摘录一般工业固体废物相关内容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17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排污许可证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摘录一般工业固体废物相关内容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18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一般工业固体废物跨省转移手续（如有）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跨省转移利用一般工业固体废物时办理备案手续，跨省转移处置、贮存一般工业固体废物时办理许可手续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19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一般工业固体废物年度填报情况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每年企业在</w:t>
            </w:r>
            <w:r>
              <w:rPr>
                <w:rFonts w:hint="eastAsia" w:ascii="宋体" w:hAnsi="宋体" w:cs="Times New Roman"/>
                <w:color w:val="000000"/>
                <w:sz w:val="21"/>
                <w:lang w:val="en-US" w:eastAsia="zh-CN"/>
              </w:rPr>
              <w:t>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固废</w:t>
            </w:r>
            <w:r>
              <w:rPr>
                <w:rFonts w:hint="eastAsia" w:ascii="宋体" w:hAnsi="宋体" w:cs="Times New Roman"/>
                <w:color w:val="000000"/>
                <w:sz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的填报信息</w:t>
            </w:r>
            <w:r>
              <w:rPr>
                <w:rFonts w:hint="eastAsia" w:ascii="宋体" w:hAnsi="宋体" w:cs="Times New Roman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20</w:t>
            </w:r>
          </w:p>
        </w:tc>
        <w:tc>
          <w:tcPr>
            <w:tcW w:w="2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环境检查及处罚情况（一般工业固废方面）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sz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</w:rPr>
              <w:t>环境执法现场检查记录；行政命令、行政处罚、限期整改等相关文书和相关整改凭证。</w:t>
            </w:r>
          </w:p>
        </w:tc>
      </w:tr>
    </w:tbl>
    <w:p>
      <w:pPr>
        <w:spacing w:beforeLines="0" w:afterLines="0"/>
        <w:jc w:val="left"/>
        <w:rPr>
          <w:rFonts w:hint="default" w:ascii="Times New Roman" w:hAnsi="Times New Roman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swiss"/>
    <w:pitch w:val="default"/>
    <w:sig w:usb0="00000287" w:usb1="080F0000" w:usb2="00000000" w:usb3="00000000" w:csb0="0004009F" w:csb1="DFD7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06C79"/>
    <w:rsid w:val="29E06C79"/>
    <w:rsid w:val="31852864"/>
    <w:rsid w:val="4ADA3550"/>
    <w:rsid w:val="54A23DD2"/>
    <w:rsid w:val="76B3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5"/>
    <w:next w:val="5"/>
    <w:unhideWhenUsed/>
    <w:uiPriority w:val="99"/>
    <w:pPr>
      <w:widowControl w:val="0"/>
      <w:autoSpaceDE w:val="0"/>
      <w:autoSpaceDN w:val="0"/>
      <w:adjustRightInd w:val="0"/>
      <w:spacing w:beforeLines="0" w:after="698" w:afterLines="0"/>
    </w:pPr>
    <w:rPr>
      <w:rFonts w:hint="default" w:ascii="华文中宋" w:hAnsi="华文中宋" w:eastAsia="华文中宋" w:cs="Times New Roman"/>
      <w:color w:val="000000"/>
      <w:sz w:val="24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华文中宋" w:hAnsi="华文中宋" w:eastAsia="华文中宋" w:cs="Times New Roman"/>
      <w:color w:val="000000"/>
      <w:sz w:val="24"/>
    </w:rPr>
  </w:style>
  <w:style w:type="paragraph" w:customStyle="1" w:styleId="6">
    <w:name w:val="CM8"/>
    <w:next w:val="5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600" w:lineRule="atLeast"/>
    </w:pPr>
    <w:rPr>
      <w:rFonts w:hint="default" w:ascii="华文中宋" w:hAnsi="华文中宋" w:eastAsia="华文中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2022-02-25T07:58:00Z</dcterms:created>
  <dc:creator>王松峰</dc:creator>
  <cp:lastModifiedBy>王松峰</cp:lastModifiedBy>
  <dcterms:modified xsi:type="dcterms:W3CDTF">2022-02-25T08:21:37Z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