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22</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4</w:t>
      </w:r>
      <w:r>
        <w:rPr>
          <w:rFonts w:hint="eastAsia" w:ascii="仿宋_GB2312" w:hAnsi="宋体" w:eastAsia="仿宋_GB2312" w:cs="宋体"/>
          <w:color w:val="auto"/>
          <w:kern w:val="0"/>
          <w:sz w:val="32"/>
          <w:szCs w:val="32"/>
          <w:highlight w:val="none"/>
        </w:rPr>
        <w:t>号</w:t>
      </w:r>
    </w:p>
    <w:p>
      <w:pPr>
        <w:pStyle w:val="2"/>
        <w:keepNext w:val="0"/>
        <w:keepLines w:val="0"/>
        <w:pageBreakBefore w:val="0"/>
        <w:kinsoku/>
        <w:overflowPunct/>
        <w:topLinePunct w:val="0"/>
        <w:bidi w:val="0"/>
        <w:snapToGrid/>
        <w:spacing w:line="560" w:lineRule="exact"/>
        <w:textAlignment w:val="auto"/>
      </w:pP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ascii="仿宋_GB2312" w:hAnsi="仿宋_GB2312" w:eastAsia="仿宋_GB2312"/>
          <w:color w:val="000000"/>
          <w:sz w:val="32"/>
          <w:szCs w:val="32"/>
          <w:highlight w:val="none"/>
          <w:u w:val="single" w:color="auto"/>
          <w:lang w:val="en-US" w:eastAsia="zh-CN"/>
        </w:rPr>
      </w:pPr>
      <w:r>
        <w:rPr>
          <w:rFonts w:hint="eastAsia" w:ascii="仿宋_GB2312" w:hAnsi="仿宋_GB2312" w:eastAsia="仿宋_GB2312"/>
          <w:color w:val="000000"/>
          <w:sz w:val="32"/>
          <w:szCs w:val="32"/>
          <w:highlight w:val="none"/>
          <w:u w:val="none" w:color="auto"/>
          <w:lang w:val="en-US" w:eastAsia="zh-CN"/>
        </w:rPr>
        <w:t>当事人名称：深圳市利源土石方工程有限公司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法定代表人：林成文</w:t>
      </w:r>
    </w:p>
    <w:p>
      <w:pPr>
        <w:keepNext w:val="0"/>
        <w:keepLines w:val="0"/>
        <w:pageBreakBefore w:val="0"/>
        <w:widowControl/>
        <w:suppressLineNumbers w:val="0"/>
        <w:kinsoku/>
        <w:overflowPunct/>
        <w:topLinePunct w:val="0"/>
        <w:bidi w:val="0"/>
        <w:snapToGrid/>
        <w:spacing w:line="560" w:lineRule="exact"/>
        <w:jc w:val="lef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 xml:space="preserve">统一社会信用代码：91440300MA5FE3303K </w:t>
      </w:r>
    </w:p>
    <w:p>
      <w:pPr>
        <w:pStyle w:val="2"/>
        <w:keepNext w:val="0"/>
        <w:keepLines w:val="0"/>
        <w:pageBreakBefore w:val="0"/>
        <w:widowControl w:val="0"/>
        <w:kinsoku/>
        <w:wordWrap w:val="0"/>
        <w:overflowPunct/>
        <w:topLinePunct w:val="0"/>
        <w:bidi w:val="0"/>
        <w:snapToGrid/>
        <w:spacing w:line="560" w:lineRule="exact"/>
        <w:ind w:left="0" w:leftChars="0" w:firstLine="0" w:firstLineChars="0"/>
        <w:textAlignment w:val="auto"/>
        <w:rPr>
          <w:rFonts w:hint="eastAsia"/>
          <w:w w:val="97"/>
          <w:highlight w:val="none"/>
          <w:lang w:val="en-US" w:eastAsia="zh-CN"/>
        </w:rPr>
      </w:pPr>
      <w:r>
        <w:rPr>
          <w:rFonts w:hint="eastAsia" w:ascii="仿宋_GB2312" w:hAnsi="仿宋_GB2312" w:eastAsia="仿宋_GB2312"/>
          <w:color w:val="000000"/>
          <w:sz w:val="32"/>
          <w:szCs w:val="32"/>
          <w:highlight w:val="none"/>
          <w:u w:val="none" w:color="auto"/>
          <w:lang w:val="en-US" w:eastAsia="zh-CN"/>
        </w:rPr>
        <w:t>住所：</w:t>
      </w:r>
      <w:r>
        <w:rPr>
          <w:rFonts w:hint="eastAsia" w:ascii="仿宋_GB2312" w:hAnsi="仿宋_GB2312" w:eastAsia="仿宋_GB2312"/>
          <w:color w:val="000000"/>
          <w:w w:val="97"/>
          <w:sz w:val="32"/>
          <w:szCs w:val="32"/>
          <w:highlight w:val="none"/>
          <w:u w:val="none" w:color="auto"/>
          <w:lang w:val="en-US" w:eastAsia="zh-CN"/>
        </w:rPr>
        <w:t>深圳市龙岗区平湖街道上木古社区平新北路51号1702</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lang w:val="en-US" w:eastAsia="zh-CN"/>
        </w:rPr>
        <w:t xml:space="preserve"> 2022 </w:t>
      </w:r>
      <w:r>
        <w:rPr>
          <w:rFonts w:hint="eastAsia" w:ascii="仿宋_GB2312" w:hAnsi="宋体" w:eastAsia="仿宋_GB2312" w:cs="宋体"/>
          <w:color w:val="auto"/>
          <w:kern w:val="0"/>
          <w:sz w:val="32"/>
          <w:szCs w:val="32"/>
          <w:highlight w:val="none"/>
          <w:u w:val="none"/>
        </w:rPr>
        <w:t>年</w:t>
      </w:r>
      <w:r>
        <w:rPr>
          <w:rFonts w:hint="eastAsia" w:ascii="仿宋_GB2312" w:hAnsi="宋体" w:eastAsia="仿宋_GB2312" w:cs="宋体"/>
          <w:color w:val="auto"/>
          <w:kern w:val="0"/>
          <w:sz w:val="32"/>
          <w:szCs w:val="32"/>
          <w:highlight w:val="none"/>
          <w:u w:val="single"/>
          <w:lang w:val="en-US" w:eastAsia="zh-CN"/>
        </w:rPr>
        <w:t xml:space="preserve"> 4 </w:t>
      </w:r>
      <w:r>
        <w:rPr>
          <w:rFonts w:hint="eastAsia" w:ascii="仿宋_GB2312" w:hAnsi="宋体" w:eastAsia="仿宋_GB2312" w:cs="宋体"/>
          <w:color w:val="auto"/>
          <w:kern w:val="0"/>
          <w:sz w:val="32"/>
          <w:szCs w:val="32"/>
          <w:highlight w:val="none"/>
          <w:u w:val="none"/>
        </w:rPr>
        <w:t>月</w:t>
      </w:r>
      <w:r>
        <w:rPr>
          <w:rFonts w:hint="eastAsia" w:ascii="仿宋_GB2312" w:hAnsi="宋体" w:eastAsia="仿宋_GB2312" w:cs="宋体"/>
          <w:color w:val="auto"/>
          <w:kern w:val="0"/>
          <w:sz w:val="32"/>
          <w:szCs w:val="32"/>
          <w:highlight w:val="none"/>
          <w:u w:val="single"/>
          <w:lang w:val="en-US" w:eastAsia="zh-CN"/>
        </w:rPr>
        <w:t xml:space="preserve"> 11 </w:t>
      </w:r>
      <w:r>
        <w:rPr>
          <w:rFonts w:hint="eastAsia" w:ascii="仿宋_GB2312" w:hAnsi="宋体" w:eastAsia="仿宋_GB2312" w:cs="宋体"/>
          <w:color w:val="auto"/>
          <w:kern w:val="0"/>
          <w:sz w:val="32"/>
          <w:szCs w:val="32"/>
          <w:highlight w:val="none"/>
          <w:u w:val="none"/>
        </w:rPr>
        <w:t>日</w:t>
      </w:r>
      <w:r>
        <w:rPr>
          <w:rFonts w:hint="eastAsia" w:ascii="仿宋_GB2312" w:hAnsi="宋体" w:eastAsia="仿宋_GB2312" w:cs="宋体"/>
          <w:color w:val="auto"/>
          <w:kern w:val="0"/>
          <w:sz w:val="32"/>
          <w:szCs w:val="32"/>
          <w:highlight w:val="none"/>
        </w:rPr>
        <w:t>对你单位进行了调查，发现你单位实施了以下环境违法行为</w:t>
      </w:r>
      <w:r>
        <w:rPr>
          <w:rFonts w:hint="eastAsia" w:ascii="仿宋_GB2312" w:hAnsi="宋体" w:eastAsia="仿宋_GB2312" w:cs="宋体"/>
          <w:color w:val="auto"/>
          <w:kern w:val="0"/>
          <w:sz w:val="32"/>
          <w:szCs w:val="32"/>
          <w:highlight w:val="none"/>
          <w:lang w:eastAsia="zh-CN"/>
        </w:rPr>
        <w:t>：</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bidi="ar-SA"/>
        </w:rPr>
      </w:pPr>
      <w:r>
        <w:rPr>
          <w:rFonts w:hint="eastAsia" w:ascii="仿宋_GB2312" w:hAnsi="宋体" w:eastAsia="仿宋_GB2312" w:cs="宋体"/>
          <w:color w:val="auto"/>
          <w:kern w:val="0"/>
          <w:sz w:val="32"/>
          <w:szCs w:val="32"/>
          <w:highlight w:val="none"/>
          <w:u w:val="none"/>
          <w:lang w:val="en-US" w:eastAsia="zh-CN"/>
        </w:rPr>
        <w:t>2022年4月11日10时，我局执法人员联合深圳市计量质量检测研究院工作人员来到位于深圳市盐田区梧桐路的盐田区沙头角梧桐路棚户改造项目进行尾气检测深圳市计量质量检测研究院工作人员对现场4台挖掘机进行了尾气检</w:t>
      </w:r>
      <w:r>
        <w:rPr>
          <w:rFonts w:hint="eastAsia" w:ascii="仿宋_GB2312" w:hAnsi="宋体" w:eastAsia="仿宋_GB2312" w:cs="宋体"/>
          <w:color w:val="auto"/>
          <w:kern w:val="0"/>
          <w:sz w:val="32"/>
          <w:szCs w:val="32"/>
          <w:highlight w:val="none"/>
          <w:u w:val="none"/>
          <w:lang w:val="en-US" w:eastAsia="zh-CN" w:bidi="ar-SA"/>
        </w:rPr>
        <w:t>测。</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bidi="ar-SA"/>
        </w:rPr>
      </w:pPr>
      <w:r>
        <w:rPr>
          <w:rFonts w:hint="eastAsia" w:ascii="仿宋_GB2312" w:hAnsi="宋体" w:eastAsia="仿宋_GB2312" w:cs="宋体"/>
          <w:color w:val="auto"/>
          <w:kern w:val="0"/>
          <w:sz w:val="32"/>
          <w:szCs w:val="32"/>
          <w:highlight w:val="none"/>
        </w:rPr>
        <w:t>我局于2022年4月20日收到深圳市计量质量检测研究院出具的4份《检验报告》</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共计4台排放阶段为国III的柴油非道路移动机械排气不透光烟度检验判定为不合格</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lang w:val="en-US" w:eastAsia="zh-CN"/>
        </w:rPr>
        <w:t>检验</w:t>
      </w:r>
      <w:r>
        <w:rPr>
          <w:rFonts w:hint="eastAsia" w:ascii="仿宋_GB2312" w:hAnsi="宋体" w:eastAsia="仿宋_GB2312" w:cs="宋体"/>
          <w:color w:val="auto"/>
          <w:kern w:val="0"/>
          <w:sz w:val="32"/>
          <w:szCs w:val="32"/>
          <w:highlight w:val="none"/>
        </w:rPr>
        <w:t>报告</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编号</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WT225201443</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显示挖掘机（型号：CAT336GC）检验结果为1.02M</w:t>
      </w:r>
      <w:r>
        <w:rPr>
          <w:rFonts w:hint="eastAsia" w:ascii="仿宋_GB2312" w:hAnsi="宋体" w:eastAsia="仿宋_GB2312" w:cs="宋体"/>
          <w:color w:val="auto"/>
          <w:kern w:val="0"/>
          <w:sz w:val="32"/>
          <w:szCs w:val="32"/>
          <w:highlight w:val="none"/>
          <w:vertAlign w:val="superscript"/>
        </w:rPr>
        <w:t>-1</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lang w:val="en-US" w:eastAsia="zh-CN"/>
        </w:rPr>
        <w:t>检验</w:t>
      </w:r>
      <w:r>
        <w:rPr>
          <w:rFonts w:hint="eastAsia" w:ascii="仿宋_GB2312" w:hAnsi="宋体" w:eastAsia="仿宋_GB2312" w:cs="宋体"/>
          <w:color w:val="auto"/>
          <w:kern w:val="0"/>
          <w:sz w:val="32"/>
          <w:szCs w:val="32"/>
          <w:highlight w:val="none"/>
        </w:rPr>
        <w:t>报告</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编号</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WT225201444</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显示挖掘机（型号：SY375H）检验结果为0.98M</w:t>
      </w:r>
      <w:r>
        <w:rPr>
          <w:rFonts w:hint="eastAsia" w:ascii="仿宋_GB2312" w:hAnsi="宋体" w:eastAsia="仿宋_GB2312" w:cs="宋体"/>
          <w:color w:val="auto"/>
          <w:kern w:val="0"/>
          <w:sz w:val="32"/>
          <w:szCs w:val="32"/>
          <w:highlight w:val="none"/>
          <w:vertAlign w:val="superscript"/>
        </w:rPr>
        <w:t>-1</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lang w:val="en-US" w:eastAsia="zh-CN"/>
        </w:rPr>
        <w:t>检验</w:t>
      </w:r>
      <w:r>
        <w:rPr>
          <w:rFonts w:hint="eastAsia" w:ascii="仿宋_GB2312" w:hAnsi="宋体" w:eastAsia="仿宋_GB2312" w:cs="宋体"/>
          <w:color w:val="auto"/>
          <w:kern w:val="0"/>
          <w:sz w:val="32"/>
          <w:szCs w:val="32"/>
          <w:highlight w:val="none"/>
        </w:rPr>
        <w:t>报告</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编号</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WT225201445</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显示挖掘机（型号：CAT336）检验结果为1.02M</w:t>
      </w:r>
      <w:r>
        <w:rPr>
          <w:rFonts w:hint="eastAsia" w:ascii="仿宋_GB2312" w:hAnsi="宋体" w:eastAsia="仿宋_GB2312" w:cs="宋体"/>
          <w:color w:val="auto"/>
          <w:kern w:val="0"/>
          <w:sz w:val="32"/>
          <w:szCs w:val="32"/>
          <w:highlight w:val="none"/>
          <w:vertAlign w:val="superscript"/>
        </w:rPr>
        <w:t>-1</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lang w:val="en-US" w:eastAsia="zh-CN"/>
        </w:rPr>
        <w:t>检验</w:t>
      </w:r>
      <w:r>
        <w:rPr>
          <w:rFonts w:hint="eastAsia" w:ascii="仿宋_GB2312" w:hAnsi="宋体" w:eastAsia="仿宋_GB2312" w:cs="宋体"/>
          <w:color w:val="auto"/>
          <w:kern w:val="0"/>
          <w:sz w:val="32"/>
          <w:szCs w:val="32"/>
          <w:highlight w:val="none"/>
        </w:rPr>
        <w:t>报告</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编号</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WT225201446</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显示挖掘机（型号：CAT336）检验结果为0.55M</w:t>
      </w:r>
      <w:r>
        <w:rPr>
          <w:rFonts w:hint="eastAsia" w:ascii="仿宋_GB2312" w:hAnsi="宋体" w:eastAsia="仿宋_GB2312" w:cs="宋体"/>
          <w:color w:val="auto"/>
          <w:kern w:val="0"/>
          <w:sz w:val="32"/>
          <w:szCs w:val="32"/>
          <w:highlight w:val="none"/>
          <w:vertAlign w:val="superscript"/>
        </w:rPr>
        <w:t>-1</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lang w:val="en-US" w:eastAsia="zh-CN"/>
        </w:rPr>
        <w:t>上述检验结果均超过排放限值0.5M</w:t>
      </w:r>
      <w:r>
        <w:rPr>
          <w:rFonts w:hint="eastAsia" w:ascii="仿宋_GB2312" w:hAnsi="宋体" w:eastAsia="仿宋_GB2312" w:cs="宋体"/>
          <w:color w:val="auto"/>
          <w:kern w:val="0"/>
          <w:sz w:val="32"/>
          <w:szCs w:val="32"/>
          <w:highlight w:val="none"/>
          <w:vertAlign w:val="superscript"/>
          <w:lang w:val="en-US" w:eastAsia="zh-CN"/>
        </w:rPr>
        <w:t>-1</w:t>
      </w:r>
      <w:r>
        <w:rPr>
          <w:rFonts w:hint="eastAsia" w:ascii="仿宋_GB2312" w:hAnsi="宋体" w:eastAsia="仿宋_GB2312" w:cs="宋体"/>
          <w:color w:val="auto"/>
          <w:kern w:val="0"/>
          <w:sz w:val="32"/>
          <w:szCs w:val="32"/>
          <w:highlight w:val="none"/>
          <w:lang w:eastAsia="zh-CN"/>
        </w:rPr>
        <w:t>。</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bidi="ar-SA"/>
        </w:rPr>
      </w:pPr>
      <w:r>
        <w:rPr>
          <w:rFonts w:hint="eastAsia" w:ascii="仿宋_GB2312" w:hAnsi="宋体" w:eastAsia="仿宋_GB2312" w:cs="宋体"/>
          <w:color w:val="auto"/>
          <w:kern w:val="0"/>
          <w:sz w:val="32"/>
          <w:szCs w:val="32"/>
          <w:highlight w:val="none"/>
          <w:u w:val="none"/>
          <w:lang w:val="en-US" w:eastAsia="zh-CN" w:bidi="ar-SA"/>
        </w:rPr>
        <w:t>你单位上述行为属于使用排放不合格的非道路移动机械的违法行为。</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笔录、调查询问笔录、现场照片、</w:t>
      </w:r>
      <w:r>
        <w:rPr>
          <w:rFonts w:hint="eastAsia" w:ascii="仿宋_GB2312" w:hAnsi="宋体" w:eastAsia="仿宋_GB2312" w:cs="宋体"/>
          <w:color w:val="auto"/>
          <w:kern w:val="0"/>
          <w:sz w:val="32"/>
          <w:szCs w:val="32"/>
          <w:highlight w:val="none"/>
          <w:lang w:eastAsia="zh-CN"/>
        </w:rPr>
        <w:t>检验</w:t>
      </w:r>
      <w:r>
        <w:rPr>
          <w:rFonts w:hint="eastAsia" w:ascii="仿宋_GB2312" w:hAnsi="宋体" w:eastAsia="仿宋_GB2312" w:cs="宋体"/>
          <w:color w:val="auto"/>
          <w:kern w:val="0"/>
          <w:sz w:val="32"/>
          <w:szCs w:val="32"/>
          <w:highlight w:val="none"/>
        </w:rPr>
        <w:t>报告</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营业执照复印件、身份证复印件、法人授权委托书</w:t>
      </w:r>
      <w:r>
        <w:rPr>
          <w:rFonts w:hint="eastAsia" w:ascii="仿宋_GB2312" w:hAnsi="宋体" w:eastAsia="仿宋_GB2312" w:cs="宋体"/>
          <w:color w:val="auto"/>
          <w:kern w:val="0"/>
          <w:sz w:val="32"/>
          <w:szCs w:val="32"/>
          <w:highlight w:val="none"/>
          <w:lang w:eastAsia="zh-CN"/>
        </w:rPr>
        <w:t>、法人身份证明书、</w:t>
      </w:r>
      <w:r>
        <w:rPr>
          <w:rFonts w:hint="eastAsia" w:ascii="仿宋_GB2312" w:hAnsi="宋体" w:eastAsia="仿宋_GB2312" w:cs="宋体"/>
          <w:color w:val="auto"/>
          <w:kern w:val="0"/>
          <w:sz w:val="32"/>
          <w:szCs w:val="32"/>
          <w:highlight w:val="none"/>
          <w:lang w:val="en-US" w:eastAsia="zh-CN"/>
        </w:rPr>
        <w:t>建筑施工许可证</w:t>
      </w:r>
      <w:r>
        <w:rPr>
          <w:rFonts w:hint="eastAsia" w:ascii="仿宋_GB2312" w:hAnsi="宋体" w:eastAsia="仿宋_GB2312" w:cs="宋体"/>
          <w:color w:val="auto"/>
          <w:kern w:val="0"/>
          <w:sz w:val="32"/>
          <w:szCs w:val="32"/>
          <w:highlight w:val="none"/>
        </w:rPr>
        <w:t>共</w:t>
      </w:r>
      <w:r>
        <w:rPr>
          <w:rFonts w:hint="eastAsia" w:ascii="仿宋_GB2312" w:hAnsi="宋体" w:eastAsia="仿宋_GB2312" w:cs="宋体"/>
          <w:color w:val="auto"/>
          <w:kern w:val="0"/>
          <w:sz w:val="32"/>
          <w:szCs w:val="32"/>
          <w:highlight w:val="none"/>
          <w:u w:val="single"/>
          <w:lang w:val="en-US" w:eastAsia="zh-CN"/>
        </w:rPr>
        <w:t xml:space="preserve"> 9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 xml:space="preserve"> 《中华人民共和国大气污染防治法》第五十</w:t>
      </w:r>
      <w:r>
        <w:rPr>
          <w:rFonts w:hint="eastAsia" w:ascii="仿宋_GB2312" w:hAnsi="宋体" w:eastAsia="仿宋_GB2312" w:cs="宋体"/>
          <w:color w:val="auto"/>
          <w:kern w:val="0"/>
          <w:sz w:val="32"/>
          <w:szCs w:val="32"/>
          <w:highlight w:val="none"/>
          <w:u w:val="single"/>
          <w:lang w:eastAsia="zh-CN"/>
        </w:rPr>
        <w:t>一</w:t>
      </w:r>
      <w:r>
        <w:rPr>
          <w:rFonts w:hint="eastAsia" w:ascii="仿宋_GB2312" w:hAnsi="宋体" w:eastAsia="仿宋_GB2312" w:cs="宋体"/>
          <w:color w:val="auto"/>
          <w:kern w:val="0"/>
          <w:sz w:val="32"/>
          <w:szCs w:val="32"/>
          <w:highlight w:val="none"/>
          <w:u w:val="single"/>
        </w:rPr>
        <w:t>条第一款</w:t>
      </w:r>
      <w:r>
        <w:rPr>
          <w:rFonts w:hint="eastAsia" w:ascii="仿宋_GB2312" w:hAnsi="宋体" w:eastAsia="仿宋_GB2312" w:cs="宋体"/>
          <w:color w:val="auto"/>
          <w:kern w:val="0"/>
          <w:sz w:val="32"/>
          <w:szCs w:val="32"/>
          <w:highlight w:val="none"/>
        </w:rPr>
        <w:t>的规定</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u w:val="single"/>
        </w:rPr>
        <w:t xml:space="preserve"> 《中华人民共和国大气污染防治法》第一百一十四条第一款</w:t>
      </w:r>
      <w:r>
        <w:rPr>
          <w:rFonts w:hint="eastAsia" w:ascii="仿宋_GB2312" w:hAnsi="宋体" w:eastAsia="仿宋_GB2312" w:cs="宋体"/>
          <w:color w:val="auto"/>
          <w:kern w:val="0"/>
          <w:sz w:val="32"/>
          <w:szCs w:val="32"/>
          <w:highlight w:val="none"/>
        </w:rPr>
        <w:t>的规定。</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w:t>
      </w:r>
      <w:r>
        <w:rPr>
          <w:rFonts w:hint="eastAsia" w:ascii="仿宋_GB2312" w:hAnsi="宋体" w:eastAsia="仿宋_GB2312" w:cs="宋体"/>
          <w:color w:val="auto"/>
          <w:kern w:val="0"/>
          <w:sz w:val="32"/>
          <w:szCs w:val="32"/>
          <w:highlight w:val="none"/>
          <w:u w:val="single"/>
          <w:lang w:val="en-US" w:eastAsia="zh-CN"/>
        </w:rPr>
        <w:t>使用排放不合格的非道路移动机械的违法行为</w:t>
      </w:r>
      <w:r>
        <w:rPr>
          <w:rFonts w:hint="eastAsia" w:ascii="仿宋_GB2312" w:hAnsi="宋体" w:eastAsia="仿宋_GB2312" w:cs="宋体"/>
          <w:color w:val="auto"/>
          <w:kern w:val="0"/>
          <w:sz w:val="32"/>
          <w:szCs w:val="32"/>
          <w:highlight w:val="none"/>
          <w:u w:val="single"/>
          <w:lang w:eastAsia="zh-CN"/>
        </w:rPr>
        <w:t>。</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联系人：陈锡江      电话：22351066</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址：盐田区香径南街盐田区</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zh-CN" w:eastAsia="zh-CN"/>
        </w:rPr>
        <w:t>四楼</w:t>
      </w:r>
      <w:r>
        <w:rPr>
          <w:rFonts w:hint="eastAsia" w:ascii="仿宋_GB2312" w:hAnsi="宋体" w:eastAsia="仿宋_GB2312" w:cs="宋体"/>
          <w:color w:val="auto"/>
          <w:kern w:val="0"/>
          <w:sz w:val="32"/>
          <w:szCs w:val="32"/>
          <w:highlight w:val="none"/>
          <w:u w:val="none"/>
          <w:lang w:val="zh-CN"/>
        </w:rPr>
        <w:t xml:space="preserve"> </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bidi w:val="0"/>
        <w:snapToGrid/>
        <w:spacing w:before="312" w:beforeLines="100" w:line="560" w:lineRule="exact"/>
        <w:jc w:val="right"/>
        <w:textAlignment w:val="auto"/>
        <w:rPr>
          <w:rFonts w:hint="eastAsia" w:ascii="仿宋_GB2312" w:hAnsi="宋体" w:eastAsia="仿宋_GB2312" w:cs="Times New Roman"/>
          <w:kern w:val="0"/>
          <w:highlight w:val="none"/>
          <w:lang w:val="zh-CN"/>
        </w:rPr>
      </w:pPr>
    </w:p>
    <w:p>
      <w:pPr>
        <w:keepNext w:val="0"/>
        <w:keepLines w:val="0"/>
        <w:pageBreakBefore w:val="0"/>
        <w:widowControl/>
        <w:kinsoku/>
        <w:wordWrap/>
        <w:overflowPunct/>
        <w:topLinePunct w:val="0"/>
        <w:bidi w:val="0"/>
        <w:snapToGrid/>
        <w:spacing w:line="560" w:lineRule="exact"/>
        <w:jc w:val="righ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深圳市生态环境局盐田管理局</w:t>
      </w:r>
    </w:p>
    <w:p>
      <w:pPr>
        <w:keepNext w:val="0"/>
        <w:keepLines w:val="0"/>
        <w:pageBreakBefore w:val="0"/>
        <w:tabs>
          <w:tab w:val="left" w:pos="300"/>
          <w:tab w:val="center" w:pos="4365"/>
          <w:tab w:val="left" w:pos="6345"/>
        </w:tabs>
        <w:kinsoku/>
        <w:wordWrap w:val="0"/>
        <w:overflowPunct/>
        <w:topLinePunct w:val="0"/>
        <w:bidi w:val="0"/>
        <w:snapToGrid/>
        <w:spacing w:line="560" w:lineRule="exact"/>
        <w:jc w:val="right"/>
        <w:textAlignment w:val="auto"/>
        <w:rPr>
          <w:rFonts w:hint="default" w:ascii="黑体" w:hAnsi="黑体" w:eastAsia="黑体"/>
          <w:b w:val="0"/>
          <w:bCs/>
          <w:sz w:val="36"/>
          <w:szCs w:val="36"/>
          <w:lang w:val="en-US"/>
        </w:rPr>
      </w:pPr>
      <w:r>
        <w:rPr>
          <w:rFonts w:hint="eastAsia" w:ascii="仿宋_GB2312" w:eastAsia="仿宋_GB2312"/>
          <w:color w:val="auto"/>
          <w:sz w:val="32"/>
          <w:szCs w:val="32"/>
          <w:highlight w:val="none"/>
          <w:lang w:val="en-US" w:eastAsia="zh-CN"/>
        </w:rPr>
        <w:t xml:space="preserve">二〇二二年四月二十二日   </w:t>
      </w: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both"/>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28"/>
          <w:szCs w:val="28"/>
          <w:lang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bookmarkStart w:id="0" w:name="_GoBack"/>
      <w:bookmarkEnd w:id="0"/>
    </w:p>
    <w:p>
      <w:pPr>
        <w:pStyle w:val="2"/>
        <w:ind w:left="0" w:leftChars="0" w:firstLine="0" w:firstLineChars="0"/>
        <w:rPr>
          <w:rFonts w:hint="eastAsia" w:ascii="黑体" w:hAnsi="黑体" w:eastAsia="黑体"/>
          <w:b w:val="0"/>
          <w:bCs/>
          <w:sz w:val="24"/>
          <w:szCs w:val="24"/>
          <w:lang w:eastAsia="zh-CN"/>
        </w:rPr>
      </w:pPr>
      <w:r>
        <w:rPr>
          <w:rFonts w:hint="eastAsia" w:ascii="黑体" w:hAnsi="黑体" w:eastAsia="黑体"/>
          <w:b w:val="0"/>
          <w:bCs/>
          <w:sz w:val="24"/>
          <w:szCs w:val="24"/>
          <w:lang w:eastAsia="zh-CN"/>
        </w:rPr>
        <w:t>附：</w:t>
      </w:r>
    </w:p>
    <w:p>
      <w:pPr>
        <w:numPr>
          <w:ilvl w:val="0"/>
          <w:numId w:val="1"/>
        </w:numPr>
        <w:rPr>
          <w:rFonts w:hint="eastAsia" w:ascii="仿宋_GB2312" w:hAnsi="宋体" w:eastAsia="仿宋_GB2312"/>
          <w:sz w:val="24"/>
          <w:szCs w:val="24"/>
        </w:rPr>
      </w:pPr>
      <w:r>
        <w:rPr>
          <w:rFonts w:hint="eastAsia" w:ascii="仿宋_GB2312" w:hAnsi="宋体" w:eastAsia="仿宋_GB2312"/>
          <w:sz w:val="24"/>
          <w:szCs w:val="24"/>
        </w:rPr>
        <w:t>《中华人民共和国大气污染防治法》第五十</w:t>
      </w:r>
      <w:r>
        <w:rPr>
          <w:rFonts w:hint="eastAsia" w:ascii="仿宋_GB2312" w:hAnsi="宋体" w:eastAsia="仿宋_GB2312"/>
          <w:sz w:val="24"/>
          <w:szCs w:val="24"/>
          <w:lang w:eastAsia="zh-CN"/>
        </w:rPr>
        <w:t>一</w:t>
      </w:r>
      <w:r>
        <w:rPr>
          <w:rFonts w:hint="eastAsia" w:ascii="仿宋_GB2312" w:hAnsi="宋体" w:eastAsia="仿宋_GB2312"/>
          <w:sz w:val="24"/>
          <w:szCs w:val="24"/>
        </w:rPr>
        <w:t>条第一款</w:t>
      </w:r>
    </w:p>
    <w:p>
      <w:pPr>
        <w:numPr>
          <w:ilvl w:val="0"/>
          <w:numId w:val="0"/>
        </w:numPr>
        <w:rPr>
          <w:rFonts w:ascii="仿宋_GB2312" w:hAnsi="宋体" w:eastAsia="仿宋_GB2312"/>
          <w:sz w:val="24"/>
          <w:szCs w:val="24"/>
        </w:rPr>
      </w:pPr>
      <w:r>
        <w:rPr>
          <w:rFonts w:hint="eastAsia" w:ascii="仿宋_GB2312" w:hAnsi="宋体" w:eastAsia="仿宋_GB2312"/>
          <w:sz w:val="24"/>
          <w:szCs w:val="24"/>
        </w:rPr>
        <w:t>机动车船、非道路移动机械不得超过标准排放大气污染物</w:t>
      </w:r>
    </w:p>
    <w:p>
      <w:pPr>
        <w:numPr>
          <w:ilvl w:val="0"/>
          <w:numId w:val="1"/>
        </w:numPr>
        <w:ind w:left="0" w:leftChars="0" w:firstLine="0" w:firstLineChars="0"/>
        <w:rPr>
          <w:rFonts w:hint="eastAsia" w:ascii="仿宋_GB2312" w:hAnsi="宋体" w:eastAsia="仿宋_GB2312"/>
          <w:sz w:val="24"/>
          <w:szCs w:val="24"/>
        </w:rPr>
      </w:pPr>
      <w:r>
        <w:rPr>
          <w:rFonts w:hint="eastAsia" w:ascii="仿宋_GB2312" w:hAnsi="宋体" w:eastAsia="仿宋_GB2312"/>
          <w:sz w:val="24"/>
          <w:szCs w:val="24"/>
        </w:rPr>
        <w:t>《中华人民共和国大气污染防治法》第一百一十四条第一</w:t>
      </w:r>
      <w:r>
        <w:rPr>
          <w:rFonts w:hint="eastAsia" w:ascii="仿宋_GB2312" w:hAnsi="宋体" w:eastAsia="仿宋_GB2312"/>
          <w:sz w:val="24"/>
          <w:szCs w:val="24"/>
          <w:lang w:eastAsia="zh-CN"/>
        </w:rPr>
        <w:t>款</w:t>
      </w:r>
    </w:p>
    <w:p>
      <w:pPr>
        <w:numPr>
          <w:ilvl w:val="0"/>
          <w:numId w:val="0"/>
        </w:numPr>
        <w:ind w:leftChars="0"/>
        <w:rPr>
          <w:rFonts w:hint="eastAsia" w:ascii="仿宋_GB2312" w:hAnsi="宋体" w:eastAsia="仿宋_GB2312"/>
          <w:sz w:val="24"/>
          <w:szCs w:val="24"/>
          <w:lang w:eastAsia="zh-CN"/>
        </w:rPr>
      </w:pPr>
      <w:r>
        <w:rPr>
          <w:rFonts w:hint="eastAsia" w:ascii="仿宋_GB2312" w:hAnsi="宋体" w:eastAsia="仿宋_GB2312"/>
          <w:sz w:val="24"/>
          <w:szCs w:val="24"/>
        </w:rPr>
        <w:t>违反本法规定，使用排放不合格的非道路移动机械，或者在用重型柴油车、非道路移动机械未按照规定加装、更换污染控制装置的，由县级以上人民政府生态环境等主管部门按照职责责令改正，处五千元的罚款</w:t>
      </w:r>
      <w:r>
        <w:rPr>
          <w:rFonts w:hint="eastAsia" w:ascii="仿宋_GB2312" w:hAnsi="宋体" w:eastAsia="仿宋_GB2312"/>
          <w:sz w:val="24"/>
          <w:szCs w:val="24"/>
          <w:lang w:eastAsia="zh-CN"/>
        </w:rPr>
        <w:t>。</w:t>
      </w: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Ind w:w="0" w:type="dxa"/>
        <w:tblLayout w:type="fixed"/>
        <w:tblCellMar>
          <w:top w:w="0" w:type="dxa"/>
          <w:left w:w="108" w:type="dxa"/>
          <w:bottom w:w="0" w:type="dxa"/>
          <w:right w:w="108" w:type="dxa"/>
        </w:tblCellMar>
      </w:tblPr>
      <w:tblGrid>
        <w:gridCol w:w="1951"/>
        <w:gridCol w:w="6769"/>
      </w:tblGrid>
      <w:tr>
        <w:tblPrEx>
          <w:tblLayout w:type="fixed"/>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4</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Layout w:type="fixed"/>
          <w:tblCellMar>
            <w:top w:w="0" w:type="dxa"/>
            <w:left w:w="108" w:type="dxa"/>
            <w:bottom w:w="0" w:type="dxa"/>
            <w:right w:w="108" w:type="dxa"/>
          </w:tblCellMar>
        </w:tblPrEx>
        <w:trPr>
          <w:trHeight w:val="992"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深圳市利源土石方工程有限公司</w:t>
            </w:r>
          </w:p>
        </w:tc>
      </w:tr>
      <w:tr>
        <w:tblPrEx>
          <w:tblLayout w:type="fixed"/>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w:t>
            </w:r>
            <w:r>
              <w:rPr>
                <w:rFonts w:hint="eastAsia" w:ascii="仿宋_GB2312" w:hAnsi="宋体" w:eastAsia="仿宋_GB2312"/>
                <w:color w:val="auto"/>
                <w:sz w:val="28"/>
                <w:szCs w:val="28"/>
                <w:highlight w:val="none"/>
                <w:lang w:val="en-US" w:eastAsia="zh-CN"/>
              </w:rPr>
              <w:t>海山街道深盐路2130号</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zh-CN" w:eastAsia="zh-CN"/>
              </w:rPr>
              <w:t>四楼</w:t>
            </w:r>
          </w:p>
        </w:tc>
      </w:tr>
      <w:tr>
        <w:tblPrEx>
          <w:tblLayout w:type="fixed"/>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Layout w:type="fixed"/>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Layout w:type="fixed"/>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2ADCC"/>
    <w:multiLevelType w:val="singleLevel"/>
    <w:tmpl w:val="0C42ADC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70826"/>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164AD"/>
    <w:rsid w:val="042B25B0"/>
    <w:rsid w:val="04E2054C"/>
    <w:rsid w:val="053055AE"/>
    <w:rsid w:val="06D253B6"/>
    <w:rsid w:val="08783DEC"/>
    <w:rsid w:val="08AE20DF"/>
    <w:rsid w:val="09FE47E4"/>
    <w:rsid w:val="0BFA5C3A"/>
    <w:rsid w:val="0CC537DA"/>
    <w:rsid w:val="0E5F44E3"/>
    <w:rsid w:val="0FCD3895"/>
    <w:rsid w:val="112215EA"/>
    <w:rsid w:val="13CD012B"/>
    <w:rsid w:val="14A51C53"/>
    <w:rsid w:val="14F27D13"/>
    <w:rsid w:val="151137F8"/>
    <w:rsid w:val="162113B8"/>
    <w:rsid w:val="17960DD3"/>
    <w:rsid w:val="18500332"/>
    <w:rsid w:val="18924865"/>
    <w:rsid w:val="19073446"/>
    <w:rsid w:val="1D5049C9"/>
    <w:rsid w:val="1F1E32D0"/>
    <w:rsid w:val="1F24248D"/>
    <w:rsid w:val="1FD51AD0"/>
    <w:rsid w:val="20D04808"/>
    <w:rsid w:val="23C71CFE"/>
    <w:rsid w:val="241C4E53"/>
    <w:rsid w:val="28030D3D"/>
    <w:rsid w:val="28EB6AF7"/>
    <w:rsid w:val="29DE477A"/>
    <w:rsid w:val="2B624D1A"/>
    <w:rsid w:val="311704B7"/>
    <w:rsid w:val="31D5518D"/>
    <w:rsid w:val="35BA16B6"/>
    <w:rsid w:val="36270B91"/>
    <w:rsid w:val="368B1BD2"/>
    <w:rsid w:val="36D15F3F"/>
    <w:rsid w:val="38B02D6F"/>
    <w:rsid w:val="38EB40AB"/>
    <w:rsid w:val="3AD0375C"/>
    <w:rsid w:val="3BBF0DA2"/>
    <w:rsid w:val="3D453069"/>
    <w:rsid w:val="419E60A2"/>
    <w:rsid w:val="422945F9"/>
    <w:rsid w:val="42A61433"/>
    <w:rsid w:val="45FF28FB"/>
    <w:rsid w:val="46E83350"/>
    <w:rsid w:val="46E84A7C"/>
    <w:rsid w:val="49BA3657"/>
    <w:rsid w:val="4A434D3D"/>
    <w:rsid w:val="4A602642"/>
    <w:rsid w:val="4B175F93"/>
    <w:rsid w:val="4B4432C6"/>
    <w:rsid w:val="4C1315E7"/>
    <w:rsid w:val="4E940210"/>
    <w:rsid w:val="50221E3A"/>
    <w:rsid w:val="50D973B7"/>
    <w:rsid w:val="513A1EA6"/>
    <w:rsid w:val="51CC4D42"/>
    <w:rsid w:val="524A1BBA"/>
    <w:rsid w:val="52C84BF7"/>
    <w:rsid w:val="54547134"/>
    <w:rsid w:val="56C85F93"/>
    <w:rsid w:val="57C64365"/>
    <w:rsid w:val="59BE6732"/>
    <w:rsid w:val="5A6332BB"/>
    <w:rsid w:val="5C820D83"/>
    <w:rsid w:val="5CD8363E"/>
    <w:rsid w:val="5DC107C4"/>
    <w:rsid w:val="5E7457AE"/>
    <w:rsid w:val="5F324BBD"/>
    <w:rsid w:val="5F800338"/>
    <w:rsid w:val="60153310"/>
    <w:rsid w:val="60CF277C"/>
    <w:rsid w:val="6330588A"/>
    <w:rsid w:val="651B3DA7"/>
    <w:rsid w:val="65F525E1"/>
    <w:rsid w:val="66346F74"/>
    <w:rsid w:val="69C83CAB"/>
    <w:rsid w:val="6AAB5F04"/>
    <w:rsid w:val="6B766472"/>
    <w:rsid w:val="723F510A"/>
    <w:rsid w:val="727D6141"/>
    <w:rsid w:val="732E6FC8"/>
    <w:rsid w:val="74EE1477"/>
    <w:rsid w:val="75BD69F3"/>
    <w:rsid w:val="7C4505C1"/>
    <w:rsid w:val="7C7A248E"/>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 w:type="paragraph" w:customStyle="1" w:styleId="26">
    <w:name w:val="Default"/>
    <w:unhideWhenUsed/>
    <w:uiPriority w:val="99"/>
    <w:pPr>
      <w:widowControl w:val="0"/>
      <w:autoSpaceDE w:val="0"/>
      <w:autoSpaceDN w:val="0"/>
      <w:adjustRightInd w:val="0"/>
      <w:spacing w:beforeLines="0" w:afterLines="0"/>
    </w:pPr>
    <w:rPr>
      <w:rFonts w:hint="default" w:ascii="宋体" w:hAnsi="宋体" w:eastAsia="宋体" w:cs="Times New Roman"/>
      <w:color w:val="0000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0</TotalTime>
  <ScaleCrop>false</ScaleCrop>
  <LinksUpToDate>false</LinksUpToDate>
  <CharactersWithSpaces>3505</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胡桂梅</cp:lastModifiedBy>
  <cp:lastPrinted>2022-04-20T08:22:00Z</cp:lastPrinted>
  <dcterms:modified xsi:type="dcterms:W3CDTF">2022-05-06T06:45:52Z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546D2F7821464C4B8A58AD42A23A5903</vt:lpwstr>
  </property>
</Properties>
</file>