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当事人名称：深圳市国睿建筑劳务有限公司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法定代表人：林长河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统一社会信用代码：91440300MA5FFY2D36</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住所：深圳市坪山区坑梓街道秀新社区坪山大道6265号B310</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4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rPr>
        <w:t>接市民投诉盐田区沙头角街道恩上村旧改项目工地有施工噪音扰民，</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4</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14 </w:t>
      </w:r>
      <w:r>
        <w:rPr>
          <w:rFonts w:hint="eastAsia" w:ascii="仿宋_GB2312" w:hAnsi="宋体" w:eastAsia="仿宋_GB2312" w:cs="宋体"/>
          <w:color w:val="auto"/>
          <w:kern w:val="0"/>
          <w:sz w:val="32"/>
          <w:szCs w:val="32"/>
          <w:highlight w:val="none"/>
          <w:u w:val="none"/>
        </w:rPr>
        <w:t>分，我局执法人员来到该工地进行检查，现场发现该工地有一台天泵、一台混凝土搅拌车正在进行混凝土浇筑作业，当晚施工未取得夜间施工作业证明。</w:t>
      </w:r>
      <w:r>
        <w:rPr>
          <w:rFonts w:hint="eastAsia" w:ascii="仿宋_GB2312" w:hAnsi="宋体" w:eastAsia="仿宋_GB2312" w:cs="宋体"/>
          <w:color w:val="auto"/>
          <w:kern w:val="0"/>
          <w:sz w:val="32"/>
          <w:szCs w:val="32"/>
          <w:highlight w:val="none"/>
          <w:u w:val="none"/>
          <w:lang w:val="en-US" w:eastAsia="zh-CN"/>
        </w:rPr>
        <w:t>你单位上述行为属于未取得夜间作业证明进行施工的违法行为。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w:t>
      </w:r>
      <w:r>
        <w:rPr>
          <w:rFonts w:hint="eastAsia" w:ascii="仿宋_GB2312" w:hAnsi="宋体" w:eastAsia="仿宋_GB2312" w:cs="宋体"/>
          <w:color w:val="auto"/>
          <w:kern w:val="0"/>
          <w:sz w:val="32"/>
          <w:szCs w:val="32"/>
          <w:highlight w:val="none"/>
          <w:u w:val="single"/>
          <w:lang w:val="en-US"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u w:val="single"/>
          <w:lang w:val="en-US" w:eastAsia="zh-CN"/>
        </w:rPr>
        <w:t>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未取得</w:t>
      </w:r>
      <w:r>
        <w:rPr>
          <w:rFonts w:hint="eastAsia" w:ascii="仿宋_GB2312" w:hAnsi="宋体" w:eastAsia="仿宋_GB2312" w:cs="宋体"/>
          <w:color w:val="auto"/>
          <w:kern w:val="0"/>
          <w:sz w:val="32"/>
          <w:szCs w:val="32"/>
          <w:highlight w:val="none"/>
          <w:u w:val="single"/>
          <w:lang w:eastAsia="zh-CN"/>
        </w:rPr>
        <w:t>夜间</w:t>
      </w:r>
      <w:r>
        <w:rPr>
          <w:rFonts w:hint="eastAsia" w:ascii="仿宋_GB2312" w:hAnsi="宋体" w:eastAsia="仿宋_GB2312" w:cs="宋体"/>
          <w:color w:val="auto"/>
          <w:kern w:val="0"/>
          <w:sz w:val="32"/>
          <w:szCs w:val="32"/>
          <w:highlight w:val="none"/>
          <w:u w:val="single"/>
          <w:lang w:val="en-US" w:eastAsia="zh-CN"/>
        </w:rPr>
        <w:t>作业证明</w:t>
      </w:r>
      <w:r>
        <w:rPr>
          <w:rFonts w:hint="eastAsia" w:ascii="仿宋_GB2312" w:hAnsi="宋体" w:eastAsia="仿宋_GB2312" w:cs="宋体"/>
          <w:color w:val="auto"/>
          <w:kern w:val="0"/>
          <w:sz w:val="32"/>
          <w:szCs w:val="32"/>
          <w:highlight w:val="none"/>
          <w:u w:val="single"/>
          <w:lang w:eastAsia="zh-CN"/>
        </w:rPr>
        <w:t>进行</w:t>
      </w:r>
      <w:r>
        <w:rPr>
          <w:rFonts w:hint="eastAsia" w:ascii="仿宋_GB2312" w:hAnsi="宋体" w:eastAsia="仿宋_GB2312" w:cs="宋体"/>
          <w:color w:val="auto"/>
          <w:kern w:val="0"/>
          <w:sz w:val="32"/>
          <w:szCs w:val="32"/>
          <w:highlight w:val="none"/>
          <w:u w:val="single"/>
          <w:lang w:val="en-US" w:eastAsia="zh-CN"/>
        </w:rPr>
        <w:t>施工</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二〇二二年四月九日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1.《深圳经济特区环境噪声污染防治条例》第二十九条第一款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2.《深圳经济特区环境噪声污染防治条例》第七十七条第一款第（四）项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en-US"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深圳市国睿建筑劳务有限公司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w:t>
            </w:r>
            <w:bookmarkStart w:id="0" w:name="_GoBack"/>
            <w:bookmarkEnd w:id="0"/>
            <w:r>
              <w:rPr>
                <w:rFonts w:hint="eastAsia" w:ascii="仿宋_GB2312" w:hAnsi="宋体" w:eastAsia="仿宋_GB2312"/>
                <w:color w:val="auto"/>
                <w:sz w:val="28"/>
                <w:szCs w:val="28"/>
                <w:highlight w:val="none"/>
                <w:lang w:val="en-US" w:eastAsia="zh-CN"/>
              </w:rPr>
              <w:t>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lang w:val="zh-CN" w:eastAsia="zh-CN"/>
              </w:rPr>
              <w:t>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07157"/>
    <w:rsid w:val="10121B98"/>
    <w:rsid w:val="112215EA"/>
    <w:rsid w:val="127F2527"/>
    <w:rsid w:val="12BB50EB"/>
    <w:rsid w:val="136924EE"/>
    <w:rsid w:val="13CD012B"/>
    <w:rsid w:val="14B30818"/>
    <w:rsid w:val="14D90BB7"/>
    <w:rsid w:val="14F27D13"/>
    <w:rsid w:val="151137F8"/>
    <w:rsid w:val="15A256E0"/>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311704B7"/>
    <w:rsid w:val="31D5518D"/>
    <w:rsid w:val="31F57EC5"/>
    <w:rsid w:val="348047F3"/>
    <w:rsid w:val="36270B91"/>
    <w:rsid w:val="368B1BD2"/>
    <w:rsid w:val="36D15F3F"/>
    <w:rsid w:val="38B02D6F"/>
    <w:rsid w:val="38EB40AB"/>
    <w:rsid w:val="3BBF0DA2"/>
    <w:rsid w:val="3D453069"/>
    <w:rsid w:val="419E60A2"/>
    <w:rsid w:val="44E93D24"/>
    <w:rsid w:val="467D786A"/>
    <w:rsid w:val="46E83350"/>
    <w:rsid w:val="484A11CC"/>
    <w:rsid w:val="49BA3657"/>
    <w:rsid w:val="4B175F93"/>
    <w:rsid w:val="4B4432C6"/>
    <w:rsid w:val="4BFA7CBF"/>
    <w:rsid w:val="4EC97140"/>
    <w:rsid w:val="50221E3A"/>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6346F74"/>
    <w:rsid w:val="67FF0D9C"/>
    <w:rsid w:val="69B71C71"/>
    <w:rsid w:val="69C83CAB"/>
    <w:rsid w:val="6AAB5F04"/>
    <w:rsid w:val="6B766472"/>
    <w:rsid w:val="6C000523"/>
    <w:rsid w:val="723F510A"/>
    <w:rsid w:val="727D6141"/>
    <w:rsid w:val="732E6FC8"/>
    <w:rsid w:val="74EE1477"/>
    <w:rsid w:val="75BD69F3"/>
    <w:rsid w:val="76F6361D"/>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5</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2021-09-15T06:44:00Z</cp:lastPrinted>
  <dcterms:modified xsi:type="dcterms:W3CDTF">2022-04-19T03:49:24Z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