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当事人名称：深圳市华昇建筑工程劳务有限公司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杨春华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91440300MA5GTABKX7</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深圳市光明区光明街道光明社区新地中央公寓A座B单元18L</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5日0时08分，我局执法人员在执法检查时，发现你单位作为施工单位在深圳市南山区西丽街道茶光路南侧的深圳市城市轨道交通13号线工程西丽火车站地基基础分包工程施工中，存在夜间在城市建成区内进行产生环境噪声的打桩、挖土建筑施工作业的环境违法行为，现场调查时</w:t>
      </w:r>
      <w:bookmarkStart w:id="0" w:name="_GoBack"/>
      <w:bookmarkEnd w:id="0"/>
      <w:r>
        <w:rPr>
          <w:rFonts w:hint="eastAsia" w:ascii="仿宋_GB2312" w:hAnsi="仿宋_GB2312" w:eastAsia="仿宋_GB2312" w:cs="仿宋_GB2312"/>
          <w:kern w:val="0"/>
          <w:sz w:val="28"/>
          <w:szCs w:val="28"/>
          <w:u w:val="none"/>
        </w:rPr>
        <w:t xml:space="preserve">发现使用了旋挖桩机、挖掘机等施工设备。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6280AD5"/>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2022-10-28T01:31:28Z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