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1</w:t>
      </w:r>
      <w:r>
        <w:rPr>
          <w:rFonts w:hint="eastAsia" w:ascii="仿宋_GB2312" w:hAnsi="仿宋_GB2312" w:eastAsia="仿宋_GB2312" w:cs="仿宋_GB2312"/>
          <w:kern w:val="0"/>
          <w:sz w:val="28"/>
          <w:szCs w:val="28"/>
          <w:lang w:val="en-US" w:eastAsia="zh-CN"/>
        </w:rPr>
        <w:t>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当事人名称：四川隆纳建设工程有限公司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宿奎军</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91510100MA6C4YWJ25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成都市青羊区大墙西街33号1栋29层2906号</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15日0时04分，我局执法人员在执法检查时，发现你单位作为施工单位在深圳市南山区西丽街道茶光路南侧的深圳至惠州城际前海保税区至坪地段工程1标（前保-五和）土建五工区西丽站围护结构1标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val="en-US" w:eastAsia="zh-CN"/>
        </w:rPr>
        <w:t>建筑业企业资质证书、安全生产许可证、监理日志、中标通知书、《劳务分包合同》复印件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3FA7520"/>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852</Characters>
  <Lines>0</Lines>
  <Paragraphs>0</Paragraphs>
  <TotalTime>0</TotalTime>
  <ScaleCrop>false</ScaleCrop>
  <LinksUpToDate>false</LinksUpToDate>
  <CharactersWithSpaces>1051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2022-10-27T03:40:23Z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