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11日23时44分，我局执法人员在执法检查时，发现你单位作为施工单位在深圳市南山区南头街道南坪快速与京港澳高速交汇处以南的西丽水库至南山水厂原水管工程施工总承包项目围护结构工程分包工程施工中，存在夜间在城市建成区内进行产生环境噪声的围护</w:t>
      </w:r>
      <w:bookmarkStart w:id="1" w:name="_GoBack"/>
      <w:bookmarkEnd w:id="1"/>
      <w:r>
        <w:rPr>
          <w:rFonts w:hint="eastAsia" w:ascii="仿宋_GB2312" w:hAnsi="仿宋_GB2312" w:eastAsia="仿宋_GB2312" w:cs="仿宋_GB2312"/>
          <w:kern w:val="0"/>
          <w:sz w:val="28"/>
          <w:szCs w:val="28"/>
          <w:u w:val="none"/>
        </w:rPr>
        <w:t xml:space="preserve">结构建筑施工作业的环境违法行为，现场调查时发现使用了成槽机等施工设备。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1F5C676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1</TotalTime>
  <ScaleCrop>false</ScaleCrop>
  <LinksUpToDate>false</LinksUpToDate>
  <CharactersWithSpaces>1133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2022-11-30T02:05:09Z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