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27日02时09分，我局执法人员在执法检查时，发现你单位作为施工单位在深圳市南山区沙河街道沙河街以西，沙河东路以东的深业世纪山谷花园（一期）园林景观工程劳务分包工程施工中，存在未取得生态环境主管部门出具的夜间作业证明在夜间</w:t>
      </w:r>
      <w:bookmarkStart w:id="1" w:name="_GoBack"/>
      <w:bookmarkEnd w:id="1"/>
      <w:r>
        <w:rPr>
          <w:rFonts w:hint="eastAsia" w:ascii="仿宋_GB2312" w:hAnsi="仿宋_GB2312" w:eastAsia="仿宋_GB2312" w:cs="仿宋_GB2312"/>
          <w:kern w:val="0"/>
          <w:sz w:val="28"/>
          <w:szCs w:val="28"/>
          <w:u w:val="none"/>
        </w:rPr>
        <w:t xml:space="preserve">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法人授权委托书、监理日志、工程开工令、中标通知书、《分包合同》复印件等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32C7B78"/>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2022-12-13T03:25:53Z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