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176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11月10日01时00分，我局执法人员在执法检查时，发现你单位作为施工单位在深圳市南山区招商街道沿山路与工业六路交汇西南侧的网谷创享大厦项目施工总承包工程土石方专业工程分包施工中，存在夜间在城市建成区内进行产生环境噪声的挖土建筑施工作业的环境违法行为，现场调查时发现使用了挖掘机、土方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项目网络公开招标中标结果、监理日志、《分包施工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w:t>
      </w:r>
      <w:bookmarkStart w:id="0" w:name="_GoBack"/>
      <w:bookmarkEnd w:id="0"/>
      <w:r>
        <w:rPr>
          <w:rFonts w:hint="eastAsia" w:ascii="仿宋_GB2312" w:hAnsi="仿宋_GB2312" w:eastAsia="仿宋_GB2312" w:cs="仿宋_GB2312"/>
          <w:kern w:val="0"/>
          <w:sz w:val="28"/>
          <w:szCs w:val="28"/>
          <w:u w:val="none"/>
        </w:rPr>
        <w:t>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E370523"/>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2022-12-13T03:26:59Z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6989ACDA3E1949C59C869731F46DCAB1</vt:lpwstr>
  </property>
</Properties>
</file>