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182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11月13日00时50分，我局执法人员在执法检查时，发现你单位作为施工单位在深圳市南山区西丽街道深港花卉中心门口处的深圳市城市轨道交通13号线主体工程13101标段中间风井附属围护结构劳务分包工程施工中，存在未取得生态环境主管部门出具的夜间作业证明在夜间进行产生环境噪声的混凝土浇筑建筑施工作业的环境违法行为，现场调查时发现使用了混凝土车及泵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w:t>
      </w:r>
      <w:bookmarkStart w:id="1" w:name="_GoBack"/>
      <w:bookmarkEnd w:id="1"/>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D9B03A6"/>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837</Words>
  <Characters>876</Characters>
  <Lines>0</Lines>
  <Paragraphs>0</Paragraphs>
  <TotalTime>0</TotalTime>
  <ScaleCrop>false</ScaleCrop>
  <LinksUpToDate>false</LinksUpToDate>
  <CharactersWithSpaces>1121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2022-12-09T03:01:41Z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415AE414F76D4CF9B7453C06F2F00AF2</vt:lpwstr>
  </property>
</Properties>
</file>