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192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2022年11月19日23时29分，我局执法人员在执法检查时，发现你单位作为施工单位在深圳市南山区西丽街道同</w:t>
      </w:r>
      <w:bookmarkStart w:id="0" w:name="_GoBack"/>
      <w:bookmarkEnd w:id="0"/>
      <w:r>
        <w:rPr>
          <w:rFonts w:hint="eastAsia" w:ascii="仿宋_GB2312" w:hAnsi="仿宋_GB2312" w:eastAsia="仿宋_GB2312" w:cs="仿宋_GB2312"/>
          <w:kern w:val="0"/>
          <w:sz w:val="28"/>
          <w:szCs w:val="28"/>
          <w:u w:val="none"/>
        </w:rPr>
        <w:t xml:space="preserve">发南路与打石二路交汇处附近的深圳市城市轨道交通13号线工程-七工区石留盾构区间劳务分包工程施工中，存在夜间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以上事实有现场检查（勘察）笔录、现场取证照片(或视频)、调查询问笔录，以及当事人提供的身份证复印件、营业执照复印件、法人授权委托书、监理日志、中标通知书、《劳务分包合同》复印件等证据为凭。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2B14B7F"/>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819</Words>
  <Characters>858</Characters>
  <Lines>0</Lines>
  <Paragraphs>0</Paragraphs>
  <TotalTime>0</TotalTime>
  <ScaleCrop>false</ScaleCrop>
  <LinksUpToDate>false</LinksUpToDate>
  <CharactersWithSpaces>1073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2022-12-09T03:27:22Z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6989ACDA3E1949C59C869731F46DCAB1</vt:lpwstr>
  </property>
</Properties>
</file>