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2022年11月21日03时15分，我局执法人员在执法检查时，发现你单位作为施工单位在深圳市南山区中心路与海德三道及海德二道交叉口的深圳市城市轨道交通13号线土建六工区附属</w:t>
      </w:r>
      <w:bookmarkStart w:id="0" w:name="_GoBack"/>
      <w:bookmarkEnd w:id="0"/>
      <w:r>
        <w:rPr>
          <w:rFonts w:hint="eastAsia" w:ascii="仿宋_GB2312" w:hAnsi="仿宋_GB2312" w:eastAsia="仿宋_GB2312" w:cs="仿宋_GB2312"/>
          <w:kern w:val="0"/>
          <w:sz w:val="28"/>
          <w:szCs w:val="28"/>
          <w:u w:val="none"/>
        </w:rPr>
        <w:t xml:space="preserve">结构钢筋混凝土构件破除工程施工中，存在夜间在城市建成区内进行产生环境噪声的破除地连墙建筑施工作业的环境违法行为，现场调查时发现使用了挖掘机（换装了破碎锤装置）等施工设备。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工作日记、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CF658B2"/>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2022-12-13T03:28:54Z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