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184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11月13日1时19分，我局执法人员在执法检查时，发现你单位作为施工单位在深圳市南山区西丽松柏路东侧、沙坑地块内的羊台书苑建设施工总承包项目——0304地块主体劳务分包工程施工中，存在未取得生态环境主管部门出具的夜间作业证明在夜间进行产生环境噪声的混凝土浇筑建筑施工作业的环境违法行为，现场调查时发现使用了混凝土车、泵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法人授权委托书、监理日志、中标通知书、《劳务分包合同》复印件等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13</w:t>
      </w:r>
      <w:bookmarkStart w:id="1" w:name="_GoBack"/>
      <w:bookmarkEnd w:id="1"/>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20F00C6"/>
    <w:rsid w:val="43690197"/>
    <w:rsid w:val="439901D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805</Words>
  <Characters>835</Characters>
  <Lines>0</Lines>
  <Paragraphs>0</Paragraphs>
  <TotalTime>0</TotalTime>
  <ScaleCrop>false</ScaleCrop>
  <LinksUpToDate>false</LinksUpToDate>
  <CharactersWithSpaces>1152</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2023-01-03T03:16:51Z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415AE414F76D4CF9B7453C06F2F00AF2</vt:lpwstr>
  </property>
</Properties>
</file>