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2022年11月16日12时56分，我局执法人员在执法检查时，发现你单位作为施工单位在深圳市南山区留仙大道丽雅苑小区东侧的官龙学校项目施工总承包主体及二次结构劳务分包工程施工中，存在未取得生态环</w:t>
      </w:r>
      <w:bookmarkStart w:id="1" w:name="_GoBack"/>
      <w:bookmarkEnd w:id="1"/>
      <w:r>
        <w:rPr>
          <w:rFonts w:hint="eastAsia" w:ascii="仿宋_GB2312" w:hAnsi="仿宋_GB2312" w:eastAsia="仿宋_GB2312" w:cs="仿宋_GB2312"/>
          <w:kern w:val="0"/>
          <w:sz w:val="28"/>
          <w:szCs w:val="28"/>
          <w:u w:val="none"/>
        </w:rPr>
        <w:t xml:space="preserve">境主管部门出具的中午或夜间作业证明在中午进行产生环境噪声的混凝土浇筑建筑施工作业的环境违法行为，现场调查时发现使用了混凝土泵车、混凝土运输车等施工设备。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17628A"/>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2023-01-03T03:16:31Z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415AE414F76D4CF9B7453C06F2F00AF2</vt:lpwstr>
  </property>
</Properties>
</file>