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29日01时37分，我局执法人员在执法检查时，发现你单位作为施工单位在深圳市南山区西丽松柏路东侧、沙坑地块内的羊台书苑建设施工总承包工程01、02地块主体劳务分包工程施工中，存在未取得生态环境主管部门出具的夜间作业证明在夜间</w:t>
      </w:r>
      <w:bookmarkStart w:id="1" w:name="_GoBack"/>
      <w:bookmarkEnd w:id="1"/>
      <w:r>
        <w:rPr>
          <w:rFonts w:hint="eastAsia" w:ascii="仿宋_GB2312" w:hAnsi="仿宋_GB2312" w:eastAsia="仿宋_GB2312" w:cs="仿宋_GB2312"/>
          <w:kern w:val="0"/>
          <w:sz w:val="28"/>
          <w:szCs w:val="28"/>
          <w:u w:val="none"/>
        </w:rPr>
        <w:t xml:space="preserve">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5FC646C1"/>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