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2022年12月1日01时32分，我局执法人员在执法检查时，发现你单位作为施工单位在深圳市南山</w:t>
      </w:r>
      <w:bookmarkStart w:id="1" w:name="_GoBack"/>
      <w:bookmarkEnd w:id="1"/>
      <w:r>
        <w:rPr>
          <w:rFonts w:hint="eastAsia" w:ascii="仿宋_GB2312" w:hAnsi="仿宋_GB2312" w:eastAsia="仿宋_GB2312" w:cs="仿宋_GB2312"/>
          <w:kern w:val="0"/>
          <w:sz w:val="28"/>
          <w:szCs w:val="28"/>
          <w:u w:val="none"/>
        </w:rPr>
        <w:t xml:space="preserve">区怡海大道与桂湾四路高架桥交叉口东北侧的深惠城际1标（前保-五和）土建三工区鲤鱼门站主体围护结构地下连续墙临时施工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法人授权委托书、情况说明、中标通知书、《施工协议》复印件等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775464C"/>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2023-01-12T07:22:03Z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