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2022年12月1日01时08分，我局执法人员在执法检查时，发现你单位作为施工单位在深圳市南山区南山大道与桃园路</w:t>
      </w:r>
      <w:bookmarkStart w:id="1" w:name="_GoBack"/>
      <w:bookmarkEnd w:id="1"/>
      <w:r>
        <w:rPr>
          <w:rFonts w:hint="eastAsia" w:ascii="仿宋_GB2312" w:hAnsi="仿宋_GB2312" w:eastAsia="仿宋_GB2312" w:cs="仿宋_GB2312"/>
          <w:kern w:val="0"/>
          <w:sz w:val="28"/>
          <w:szCs w:val="28"/>
          <w:u w:val="none"/>
        </w:rPr>
        <w:t xml:space="preserve">十字交汇的西南角处的南山医院改扩建项目二期二标段主体工程专业分包项目施工中，存在未取得生态环境主管部门出具的夜间作业证明在夜间进行产生环境噪声的混凝土浇筑建筑施工作业的环境违法行为，现场调查时发现使用了混凝土车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法人授权委托书、建筑业企业资质证书、监理日志、中标通知书、《专业分承包合同》复印件等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B6274E7"/>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2023-01-11T07:35:04Z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