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210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12月1日01时57分，我局执法人员在执法检查时，发现你单位作为施工单位在深圳市南山区沙河西路与丽康路交叉口的鹏城实验室石壁龙园区一期建设工程施工总承包Ⅰ标段（地基基础工程）工程施工中，存在未取得生态环境主管部门出具的夜间作业证明在夜间进行产生环境噪声的混凝土浇筑建筑施工作业的环境违法行为，现场调查时发现使用了混凝土车、泵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法人授权委托书、监理日记、中标通知书、《劳务分包合同》复印件</w:t>
      </w:r>
      <w:bookmarkStart w:id="1" w:name="_GoBack"/>
      <w:bookmarkEnd w:id="1"/>
      <w:r>
        <w:rPr>
          <w:rFonts w:hint="eastAsia" w:ascii="仿宋_GB2312" w:hAnsi="仿宋_GB2312" w:eastAsia="仿宋_GB2312" w:cs="仿宋_GB2312"/>
          <w:kern w:val="0"/>
          <w:sz w:val="28"/>
          <w:szCs w:val="28"/>
          <w:u w:val="none"/>
          <w:lang w:val="en-US" w:eastAsia="zh-CN"/>
        </w:rPr>
        <w:t>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39901D7"/>
    <w:rsid w:val="48B0502F"/>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2023-01-11T07:34:08Z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415AE414F76D4CF9B7453C06F2F00AF2</vt:lpwstr>
  </property>
</Properties>
</file>