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2022年12月16日00时12分，我局</w:t>
      </w:r>
      <w:bookmarkStart w:id="0" w:name="_GoBack"/>
      <w:bookmarkEnd w:id="0"/>
      <w:r>
        <w:rPr>
          <w:rFonts w:hint="eastAsia" w:ascii="仿宋_GB2312" w:hAnsi="仿宋_GB2312" w:eastAsia="仿宋_GB2312" w:cs="仿宋_GB2312"/>
          <w:kern w:val="0"/>
          <w:sz w:val="28"/>
          <w:szCs w:val="28"/>
          <w:u w:val="none"/>
        </w:rPr>
        <w:t>执法人员在执法检查时，发现你单位作为施工单位在深圳市南山区西丽街道茶光路南侧的深圳市城市轨道交通13号线工程西丽火车站地基基础分包工程施工中，存在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 xml:space="preserve">在城市建成区内进行产生环境噪声的打桩建筑施工作业的环境违法行为，现场调查时发现使用了旋挖桩等施工设备。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4F20AB7"/>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2023-01-11T07:21:34Z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