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18日23时41分，我局执法人员在执法检查时，发现你单位作为施工单位在深圳市南山区平山一路58号的平山小学拆除重建九年一贯制学校施工总承包项目园林景观专业分包工程施工中，存在未取得生态环境主管部门出具的夜间作业</w:t>
      </w:r>
      <w:bookmarkStart w:id="1" w:name="_GoBack"/>
      <w:bookmarkEnd w:id="1"/>
      <w:r>
        <w:rPr>
          <w:rFonts w:hint="eastAsia" w:ascii="仿宋_GB2312" w:hAnsi="仿宋_GB2312" w:eastAsia="仿宋_GB2312" w:cs="仿宋_GB2312"/>
          <w:kern w:val="0"/>
          <w:sz w:val="28"/>
          <w:szCs w:val="28"/>
          <w:u w:val="none"/>
        </w:rPr>
        <w:t xml:space="preserve">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751AB3"/>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2023-02-14T08:55:52Z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