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2023年2月11日03时12分，我局</w:t>
      </w:r>
      <w:bookmarkStart w:id="0" w:name="_GoBack"/>
      <w:bookmarkEnd w:id="0"/>
      <w:r>
        <w:rPr>
          <w:rFonts w:hint="eastAsia" w:ascii="仿宋_GB2312" w:hAnsi="仿宋_GB2312" w:eastAsia="仿宋_GB2312" w:cs="仿宋_GB2312"/>
          <w:kern w:val="0"/>
          <w:sz w:val="28"/>
          <w:szCs w:val="28"/>
          <w:u w:val="none"/>
        </w:rPr>
        <w:t xml:space="preserve">执法人员在执法检查时，发现你单位作为施工单位在深圳市南山区听海大道与前湾二路交叉口南侧的一湾臻邸项目桩基础工程(原为前湾T102-0410地块项目基坑支护及土石方工程)施工中，存在夜间在城市建成区内进行产生环境噪声的打桩建筑施工作业的环境违法行为，现场调查时发现使用了旋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以上事实有现场检查（勘察）笔录、现场取证照片(或视频)、调查询问笔录，以及当事人提供的身份证复印件、营业执照复印件、法人授权委托书、建筑工程施工许可证复印件等证据为凭。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273770"/>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2023-02-20T02:48:43Z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