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2023年2月14日2时49分，我局执法人员在执法检查时，发现你单位作为施工单位在深圳市南山区西丽街道</w:t>
      </w:r>
      <w:bookmarkStart w:id="1" w:name="_GoBack"/>
      <w:bookmarkEnd w:id="1"/>
      <w:r>
        <w:rPr>
          <w:rFonts w:hint="eastAsia" w:ascii="仿宋_GB2312" w:hAnsi="仿宋_GB2312" w:eastAsia="仿宋_GB2312" w:cs="仿宋_GB2312"/>
          <w:kern w:val="0"/>
          <w:sz w:val="28"/>
          <w:szCs w:val="28"/>
          <w:u w:val="none"/>
        </w:rPr>
        <w:t xml:space="preserve">茶光路南侧的深圳至惠州城际前海保税区至坪地段工程1标（前保-五和）主体工程西丽站车站主体围护结构劳务分包工程施工中，存在未取得生态环境主管部门出具的夜间作业证明在夜间进行产生环境噪声的混凝土浇筑建筑施工作业的环境违法行为，现场调查时发现使用了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DY5Y2Q5MzM4ZjI5ZTQ4YjdhMzY3ZDM5MjU2MTc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B802A5C"/>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2023-03-01T06:55:40Z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