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after="469" w:afterLines="150" w:line="240" w:lineRule="auto"/>
        <w:jc w:val="left"/>
        <w:textAlignment w:val="auto"/>
        <w:rPr>
          <w:rFonts w:hint="eastAsia" w:ascii="黑体" w:hAnsi="黑体" w:eastAsia="黑体" w:cs="黑体"/>
          <w:b w:val="0"/>
          <w:bCs/>
          <w:color w:val="000000" w:themeColor="text1"/>
          <w:sz w:val="32"/>
          <w:szCs w:val="32"/>
          <w:highlight w:val="none"/>
          <w:lang w:val="en-US" w:eastAsia="zh-CN" w:bidi="ar-SA"/>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bidi="ar-SA"/>
          <w14:textFill>
            <w14:solidFill>
              <w14:schemeClr w14:val="tx1"/>
            </w14:solidFill>
          </w14:textFill>
        </w:rPr>
        <w:t xml:space="preserve">附件1 </w:t>
      </w:r>
    </w:p>
    <w:p>
      <w:pPr>
        <w:widowControl w:val="0"/>
        <w:spacing w:line="560" w:lineRule="exact"/>
        <w:jc w:val="center"/>
        <w:rPr>
          <w:rFonts w:hint="eastAsia" w:ascii="宋体" w:hAnsi="宋体" w:cs="宋体"/>
          <w:b/>
          <w:bCs/>
          <w:kern w:val="2"/>
          <w:sz w:val="44"/>
          <w:szCs w:val="44"/>
          <w:lang w:val="en-US" w:eastAsia="zh-CN" w:bidi="ar-SA"/>
        </w:rPr>
      </w:pPr>
      <w:r>
        <w:rPr>
          <w:rFonts w:hint="eastAsia" w:ascii="宋体" w:hAnsi="宋体" w:cs="宋体"/>
          <w:b/>
          <w:bCs/>
          <w:kern w:val="2"/>
          <w:sz w:val="44"/>
          <w:szCs w:val="44"/>
          <w:lang w:val="en-US" w:eastAsia="zh-CN" w:bidi="ar-SA"/>
        </w:rPr>
        <w:t>深圳市人民政府关于划定禁止使用高排放</w:t>
      </w:r>
    </w:p>
    <w:p>
      <w:pPr>
        <w:widowControl w:val="0"/>
        <w:spacing w:line="560" w:lineRule="exact"/>
        <w:jc w:val="center"/>
        <w:rPr>
          <w:rFonts w:hint="default" w:ascii="宋体" w:hAnsi="宋体" w:cs="宋体"/>
          <w:b/>
          <w:bCs/>
          <w:kern w:val="2"/>
          <w:sz w:val="44"/>
          <w:szCs w:val="44"/>
          <w:lang w:val="en-US" w:eastAsia="zh-CN" w:bidi="ar-SA"/>
        </w:rPr>
      </w:pPr>
      <w:r>
        <w:rPr>
          <w:rFonts w:hint="eastAsia" w:ascii="宋体" w:hAnsi="宋体" w:cs="宋体"/>
          <w:b/>
          <w:bCs/>
          <w:kern w:val="2"/>
          <w:sz w:val="44"/>
          <w:szCs w:val="44"/>
          <w:lang w:val="en-US" w:eastAsia="zh-CN" w:bidi="ar-SA"/>
        </w:rPr>
        <w:t>非道路移动机械区域的通告</w:t>
      </w:r>
    </w:p>
    <w:p>
      <w:pPr>
        <w:widowControl w:val="0"/>
        <w:jc w:val="center"/>
        <w:rPr>
          <w:rFonts w:hint="default" w:ascii="楷体_GB2312" w:hAnsi="楷体_GB2312" w:eastAsia="楷体_GB2312" w:cs="楷体_GB2312"/>
          <w:sz w:val="32"/>
          <w:szCs w:val="32"/>
          <w:lang w:val="en-US" w:eastAsia="zh-CN" w:bidi="ar-SA"/>
        </w:rPr>
      </w:pPr>
      <w:r>
        <w:rPr>
          <w:rFonts w:hint="default" w:ascii="楷体_GB2312" w:hAnsi="楷体_GB2312" w:eastAsia="楷体_GB2312" w:cs="楷体_GB2312"/>
          <w:sz w:val="32"/>
          <w:szCs w:val="32"/>
          <w:lang w:val="en-US" w:eastAsia="zh-CN" w:bidi="ar-SA"/>
        </w:rPr>
        <w:t>（</w:t>
      </w:r>
      <w:bookmarkStart w:id="0" w:name="_GoBack"/>
      <w:bookmarkEnd w:id="0"/>
      <w:r>
        <w:rPr>
          <w:rFonts w:hint="default" w:ascii="楷体_GB2312" w:hAnsi="楷体_GB2312" w:eastAsia="楷体_GB2312" w:cs="楷体_GB2312"/>
          <w:sz w:val="32"/>
          <w:szCs w:val="32"/>
          <w:lang w:val="en-US" w:eastAsia="zh-CN" w:bidi="ar-SA"/>
        </w:rPr>
        <w:t>征求意见稿）</w:t>
      </w:r>
    </w:p>
    <w:p>
      <w:pPr>
        <w:spacing w:beforeLines="0" w:afterLines="0"/>
        <w:ind w:firstLine="640" w:firstLineChars="200"/>
        <w:jc w:val="left"/>
        <w:rPr>
          <w:rFonts w:hint="default"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p>
    <w:p>
      <w:pPr>
        <w:spacing w:beforeLines="0" w:afterLines="0"/>
        <w:ind w:firstLine="640" w:firstLineChars="200"/>
        <w:jc w:val="left"/>
        <w:rPr>
          <w:rFonts w:hint="eastAsia" w:ascii="FangSong_GB2312" w:hAnsi="FangSong_GB2312" w:eastAsia="FangSong_GB2312"/>
          <w:sz w:val="32"/>
        </w:rPr>
      </w:pPr>
      <w:r>
        <w:rPr>
          <w:rFonts w:hint="default" w:ascii="FangSong_GB2312" w:hAnsi="FangSong_GB2312" w:eastAsia="FangSong_GB2312"/>
          <w:sz w:val="32"/>
          <w:lang w:val="en-US" w:eastAsia="zh-CN"/>
        </w:rPr>
        <w:t>为进一步减少非道路移动机械污染物排放</w:t>
      </w:r>
      <w:r>
        <w:rPr>
          <w:rFonts w:hint="eastAsia" w:ascii="FangSong_GB2312" w:hAnsi="FangSong_GB2312" w:eastAsia="FangSong_GB2312"/>
          <w:sz w:val="32"/>
        </w:rPr>
        <w:t>、更好地保障市民身体健康，根据《中华人民共和国大气污染防治法》</w:t>
      </w:r>
      <w:r>
        <w:rPr>
          <w:rFonts w:hint="eastAsia" w:ascii="FangSong_GB2312" w:hAnsi="FangSong_GB2312" w:eastAsia="FangSong_GB2312"/>
          <w:sz w:val="32"/>
          <w:lang w:val="en-US" w:eastAsia="zh-CN"/>
        </w:rPr>
        <w:t>《广东省大气污染防治条例》《</w:t>
      </w:r>
      <w:r>
        <w:rPr>
          <w:rFonts w:hint="eastAsia" w:ascii="FangSong_GB2312" w:hAnsi="FangSong_GB2312" w:eastAsia="FangSong_GB2312"/>
          <w:sz w:val="32"/>
        </w:rPr>
        <w:t>深圳经济特区生态环境保护条例</w:t>
      </w:r>
      <w:r>
        <w:rPr>
          <w:rFonts w:hint="eastAsia" w:ascii="FangSong_GB2312" w:hAnsi="FangSong_GB2312" w:eastAsia="FangSong_GB2312"/>
          <w:sz w:val="32"/>
          <w:lang w:val="en-US" w:eastAsia="zh-CN"/>
        </w:rPr>
        <w:t>》</w:t>
      </w:r>
      <w:r>
        <w:rPr>
          <w:rFonts w:hint="eastAsia" w:ascii="FangSong_GB2312" w:hAnsi="FangSong_GB2312" w:eastAsia="FangSong_GB2312"/>
          <w:sz w:val="32"/>
        </w:rPr>
        <w:t>等法律法规，</w:t>
      </w:r>
      <w:r>
        <w:rPr>
          <w:rFonts w:hint="eastAsia" w:ascii="FangSong_GB2312" w:hAnsi="FangSong_GB2312" w:eastAsia="FangSong_GB2312"/>
          <w:sz w:val="32"/>
          <w:lang w:val="en-US" w:eastAsia="zh-CN"/>
        </w:rPr>
        <w:t>结合我市实际</w:t>
      </w:r>
      <w:r>
        <w:rPr>
          <w:rFonts w:hint="eastAsia" w:ascii="FangSong_GB2312" w:hAnsi="FangSong_GB2312" w:eastAsia="FangSong_GB2312"/>
          <w:sz w:val="32"/>
        </w:rPr>
        <w:t>，市政府决定划定禁止使用高排放非道路移动机械区域（</w:t>
      </w:r>
      <w:r>
        <w:rPr>
          <w:rFonts w:hint="eastAsia" w:ascii="仿宋_GB2312" w:eastAsia="仿宋_GB2312"/>
          <w:sz w:val="32"/>
          <w:szCs w:val="32"/>
        </w:rPr>
        <w:t>以下简称“</w:t>
      </w:r>
      <w:r>
        <w:rPr>
          <w:rFonts w:hint="eastAsia" w:ascii="FangSong_GB2312" w:hAnsi="FangSong_GB2312" w:eastAsia="FangSong_GB2312"/>
          <w:sz w:val="32"/>
        </w:rPr>
        <w:t>低排</w:t>
      </w:r>
      <w:r>
        <w:rPr>
          <w:rFonts w:hint="eastAsia" w:ascii="仿宋_GB2312" w:eastAsia="仿宋_GB2312"/>
          <w:sz w:val="32"/>
          <w:szCs w:val="32"/>
        </w:rPr>
        <w:t>区”</w:t>
      </w:r>
      <w:r>
        <w:rPr>
          <w:rFonts w:hint="eastAsia" w:ascii="FangSong_GB2312" w:hAnsi="FangSong_GB2312" w:eastAsia="FangSong_GB2312"/>
          <w:sz w:val="32"/>
        </w:rPr>
        <w:t>）。现将有关事项通告如下：</w:t>
      </w:r>
    </w:p>
    <w:p>
      <w:pPr>
        <w:spacing w:beforeLines="0" w:afterLines="0"/>
        <w:ind w:firstLine="640" w:firstLineChars="200"/>
        <w:jc w:val="left"/>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一、</w:t>
      </w:r>
      <w:r>
        <w:rPr>
          <w:rFonts w:hint="eastAsia" w:ascii="FangSong_GB2312" w:hAnsi="FangSong_GB2312" w:eastAsia="FangSong_GB2312"/>
          <w:sz w:val="32"/>
          <w:lang w:val="en-US" w:eastAsia="zh-CN"/>
        </w:rPr>
        <w:t>本通告适用于装配有</w:t>
      </w: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发动机</w:t>
      </w:r>
      <w:r>
        <w:rPr>
          <w:rFonts w:hint="eastAsia" w:ascii="FangSong_GB2312" w:hAnsi="FangSong_GB2312" w:eastAsia="FangSong_GB2312"/>
          <w:sz w:val="32"/>
          <w:lang w:val="en-US" w:eastAsia="zh-CN"/>
        </w:rPr>
        <w:t>从事建筑和市政施工、港口作业、企业厂（场）内作业、园林作业、机场地勤服务等作业的移动机械和可运输工业设备，</w:t>
      </w:r>
      <w:r>
        <w:rPr>
          <w:rFonts w:hint="eastAsia" w:ascii="FangSong_GB2312" w:hAnsi="FangSong_GB2312" w:eastAsia="FangSong_GB2312"/>
          <w:sz w:val="32"/>
        </w:rPr>
        <w:t>包括但不限于以下机械类型：装载机、推土机、挖掘机、打桩机、铲车、压路机、沥青摊铺机、叉车、旋挖机、混凝土输送泵等。</w:t>
      </w:r>
    </w:p>
    <w:p>
      <w:pPr>
        <w:keepNext w:val="0"/>
        <w:keepLines w:val="0"/>
        <w:widowControl/>
        <w:suppressLineNumbers w:val="0"/>
        <w:spacing w:before="0" w:beforeAutospacing="0" w:after="0" w:afterAutospacing="0"/>
        <w:ind w:left="0" w:right="0" w:firstLine="640" w:firstLineChars="200"/>
        <w:jc w:val="left"/>
        <w:rPr>
          <w:rFonts w:hint="eastAsia" w:ascii="FangSong_GB2312" w:hAnsi="FangSong_GB2312" w:eastAsia="FangSong_GB2312"/>
          <w:sz w:val="32"/>
          <w:lang w:val="en-US" w:eastAsia="zh-CN"/>
        </w:rPr>
      </w:pPr>
      <w:r>
        <w:rPr>
          <w:rFonts w:hint="default" w:ascii="仿宋_GB2312" w:hAnsi="仿宋_GB2312" w:eastAsia="仿宋_GB2312" w:cs="仿宋_GB2312"/>
          <w:color w:val="000000" w:themeColor="text1"/>
          <w:sz w:val="32"/>
          <w:szCs w:val="40"/>
          <w:highlight w:val="none"/>
          <w:lang w:val="en-US" w:eastAsia="zh-CN" w:bidi="ar-SA"/>
          <w14:textFill>
            <w14:solidFill>
              <w14:schemeClr w14:val="tx1"/>
            </w14:solidFill>
          </w14:textFill>
        </w:rPr>
        <w:t>二、</w:t>
      </w:r>
      <w:r>
        <w:rPr>
          <w:rFonts w:hint="eastAsia" w:ascii="FangSong_GB2312" w:hAnsi="FangSong_GB2312" w:eastAsia="FangSong_GB2312"/>
          <w:sz w:val="32"/>
        </w:rPr>
        <w:t>禁止使用高排放非道路移动机械区域</w:t>
      </w:r>
      <w:r>
        <w:rPr>
          <w:rFonts w:hint="eastAsia" w:ascii="FangSong_GB2312" w:hAnsi="FangSong_GB2312" w:eastAsia="FangSong_GB2312"/>
          <w:sz w:val="32"/>
          <w:lang w:val="en-US" w:eastAsia="zh-CN"/>
        </w:rPr>
        <w:t>为全市范围。</w:t>
      </w:r>
    </w:p>
    <w:p>
      <w:pPr>
        <w:keepNext w:val="0"/>
        <w:keepLines w:val="0"/>
        <w:widowControl/>
        <w:suppressLineNumbers w:val="0"/>
        <w:spacing w:before="0" w:beforeAutospacing="0" w:after="0" w:afterAutospacing="0"/>
        <w:ind w:left="0" w:right="0" w:firstLine="640" w:firstLineChars="200"/>
        <w:jc w:val="left"/>
        <w:rPr>
          <w:rFonts w:hint="default"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三、自2023年9月28日起，低排区内禁止国Ⅱ及以下排放标准的非道路移动机械使用。</w:t>
      </w:r>
    </w:p>
    <w:p>
      <w:pPr>
        <w:keepNext w:val="0"/>
        <w:keepLines w:val="0"/>
        <w:widowControl/>
        <w:suppressLineNumbers w:val="0"/>
        <w:spacing w:before="0" w:beforeAutospacing="0" w:after="0" w:afterAutospacing="0"/>
        <w:ind w:left="0" w:right="0" w:firstLine="640" w:firstLineChars="200"/>
        <w:jc w:val="left"/>
        <w:rPr>
          <w:rFonts w:hint="default"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四、</w:t>
      </w:r>
      <w:r>
        <w:rPr>
          <w:rFonts w:hint="default" w:ascii="仿宋_GB2312" w:hAnsi="仿宋_GB2312" w:eastAsia="仿宋_GB2312" w:cs="仿宋_GB2312"/>
          <w:color w:val="000000" w:themeColor="text1"/>
          <w:sz w:val="32"/>
          <w:szCs w:val="40"/>
          <w:highlight w:val="none"/>
          <w:lang w:val="en-US" w:eastAsia="zh-CN" w:bidi="ar-SA"/>
          <w14:textFill>
            <w14:solidFill>
              <w14:schemeClr w14:val="tx1"/>
            </w14:solidFill>
          </w14:textFill>
        </w:rPr>
        <w:t>自202</w:t>
      </w: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5</w:t>
      </w:r>
      <w:r>
        <w:rPr>
          <w:rFonts w:hint="default" w:ascii="仿宋_GB2312" w:hAnsi="仿宋_GB2312" w:eastAsia="仿宋_GB2312" w:cs="仿宋_GB2312"/>
          <w:color w:val="000000" w:themeColor="text1"/>
          <w:sz w:val="32"/>
          <w:szCs w:val="40"/>
          <w:highlight w:val="none"/>
          <w:lang w:val="en-US" w:eastAsia="zh-CN" w:bidi="ar-SA"/>
          <w14:textFill>
            <w14:solidFill>
              <w14:schemeClr w14:val="tx1"/>
            </w14:solidFill>
          </w14:textFill>
        </w:rPr>
        <w:t>年</w:t>
      </w: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5</w:t>
      </w:r>
      <w:r>
        <w:rPr>
          <w:rFonts w:hint="default" w:ascii="仿宋_GB2312" w:hAnsi="仿宋_GB2312" w:eastAsia="仿宋_GB2312" w:cs="仿宋_GB2312"/>
          <w:color w:val="000000" w:themeColor="text1"/>
          <w:sz w:val="32"/>
          <w:szCs w:val="40"/>
          <w:highlight w:val="none"/>
          <w:lang w:val="en-US" w:eastAsia="zh-CN" w:bidi="ar-SA"/>
          <w14:textFill>
            <w14:solidFill>
              <w14:schemeClr w14:val="tx1"/>
            </w14:solidFill>
          </w14:textFill>
        </w:rPr>
        <w:t>月</w:t>
      </w: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1</w:t>
      </w:r>
      <w:r>
        <w:rPr>
          <w:rFonts w:hint="default" w:ascii="仿宋_GB2312" w:hAnsi="仿宋_GB2312" w:eastAsia="仿宋_GB2312" w:cs="仿宋_GB2312"/>
          <w:color w:val="000000" w:themeColor="text1"/>
          <w:sz w:val="32"/>
          <w:szCs w:val="40"/>
          <w:highlight w:val="none"/>
          <w:lang w:val="en-US" w:eastAsia="zh-CN" w:bidi="ar-SA"/>
          <w14:textFill>
            <w14:solidFill>
              <w14:schemeClr w14:val="tx1"/>
            </w14:solidFill>
          </w14:textFill>
        </w:rPr>
        <w:t>日起，</w:t>
      </w: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低排区内禁止国</w:t>
      </w:r>
      <w:r>
        <w:rPr>
          <w:rFonts w:hint="default" w:ascii="仿宋_GB2312" w:eastAsia="仿宋_GB2312"/>
          <w:sz w:val="32"/>
          <w:szCs w:val="32"/>
        </w:rPr>
        <w:t>Ⅲ</w:t>
      </w: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及以下排放标准的非道路移动机械和5吨以下燃油叉车使用。</w:t>
      </w:r>
    </w:p>
    <w:p>
      <w:pPr>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eastAsia="仿宋_GB2312"/>
          <w:sz w:val="32"/>
          <w:szCs w:val="32"/>
          <w:lang w:val="en-US" w:eastAsia="zh-CN"/>
        </w:rPr>
        <w:t>五、</w:t>
      </w:r>
      <w:r>
        <w:rPr>
          <w:rFonts w:hint="eastAsia" w:ascii="仿宋_GB2312" w:eastAsia="仿宋_GB2312"/>
          <w:sz w:val="32"/>
          <w:szCs w:val="32"/>
        </w:rPr>
        <w:t>低排区内所有在用非道路移动机械排放应满足</w:t>
      </w: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《非道路柴油移动机械排气烟度限值及测试方法》（GB36886-2018）规定的</w:t>
      </w:r>
      <w:r>
        <w:rPr>
          <w:rFonts w:hint="default" w:ascii="仿宋_GB2312" w:eastAsia="仿宋_GB2312"/>
          <w:sz w:val="32"/>
          <w:szCs w:val="32"/>
        </w:rPr>
        <w:t>Ⅲ</w:t>
      </w: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类</w:t>
      </w:r>
      <w:r>
        <w:rPr>
          <w:rFonts w:hint="eastAsia" w:ascii="仿宋_GB2312" w:eastAsia="仿宋_GB2312"/>
          <w:sz w:val="32"/>
          <w:szCs w:val="32"/>
        </w:rPr>
        <w:t>限值</w:t>
      </w:r>
      <w:r>
        <w:rPr>
          <w:rFonts w:hint="eastAsia" w:ascii="仿宋_GB2312" w:eastAsia="仿宋_GB2312"/>
          <w:sz w:val="32"/>
          <w:szCs w:val="32"/>
          <w:lang w:val="en-US" w:eastAsia="zh-CN"/>
        </w:rPr>
        <w:t>标准</w:t>
      </w:r>
      <w:r>
        <w:rPr>
          <w:rFonts w:hint="eastAsia" w:ascii="仿宋_GB2312" w:eastAsia="仿宋_GB2312"/>
          <w:sz w:val="32"/>
          <w:szCs w:val="32"/>
        </w:rPr>
        <w:t>要求。</w:t>
      </w:r>
    </w:p>
    <w:p>
      <w:pPr>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FangSong_GB2312" w:hAnsi="FangSong_GB2312" w:eastAsia="FangSong_GB2312"/>
          <w:sz w:val="32"/>
        </w:rPr>
        <w:t>六、低排区内鼓励使用</w:t>
      </w:r>
      <w:r>
        <w:rPr>
          <w:rFonts w:hint="eastAsia" w:ascii="FangSong_GB2312" w:hAnsi="FangSong_GB2312" w:eastAsia="FangSong_GB2312"/>
          <w:sz w:val="32"/>
          <w:lang w:val="en-US" w:eastAsia="zh-CN"/>
        </w:rPr>
        <w:t>电动、氢能等</w:t>
      </w:r>
      <w:r>
        <w:rPr>
          <w:rFonts w:hint="eastAsia" w:ascii="FangSong_GB2312" w:hAnsi="FangSong_GB2312" w:eastAsia="FangSong_GB2312"/>
          <w:sz w:val="32"/>
        </w:rPr>
        <w:t>新能源非道路移动机械</w:t>
      </w:r>
      <w:r>
        <w:rPr>
          <w:rFonts w:hint="eastAsia" w:ascii="FangSong_GB2312" w:hAnsi="FangSong_GB2312" w:eastAsia="FangSong_GB2312"/>
          <w:sz w:val="32"/>
          <w:lang w:eastAsia="zh-CN"/>
        </w:rPr>
        <w:t>，</w:t>
      </w:r>
      <w:r>
        <w:rPr>
          <w:rFonts w:hint="eastAsia" w:ascii="FangSong_GB2312" w:hAnsi="FangSong_GB2312" w:eastAsia="FangSong_GB2312"/>
          <w:sz w:val="32"/>
          <w:lang w:val="en-US" w:eastAsia="zh-CN"/>
        </w:rPr>
        <w:t>以及</w:t>
      </w: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NOx排放优于柴油非道路移动机械第四阶段标准排放限值要求</w:t>
      </w:r>
      <w:r>
        <w:rPr>
          <w:rFonts w:hint="eastAsia" w:ascii="FangSong_GB2312" w:hAnsi="FangSong_GB2312" w:eastAsia="FangSong_GB2312"/>
          <w:sz w:val="32"/>
          <w:lang w:val="en-US" w:eastAsia="zh-CN"/>
        </w:rPr>
        <w:t>的LNG、汽油</w:t>
      </w: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非道路移动机械。</w:t>
      </w:r>
    </w:p>
    <w:p>
      <w:pPr>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七、应急抢险工程不受</w:t>
      </w:r>
      <w:r>
        <w:rPr>
          <w:rFonts w:hint="default" w:ascii="仿宋_GB2312" w:hAnsi="仿宋_GB2312" w:eastAsia="仿宋_GB2312" w:cs="仿宋_GB2312"/>
          <w:color w:val="000000" w:themeColor="text1"/>
          <w:sz w:val="32"/>
          <w:szCs w:val="40"/>
          <w:highlight w:val="none"/>
          <w:lang w:val="en-US" w:eastAsia="zh-CN" w:bidi="ar-SA"/>
          <w14:textFill>
            <w14:solidFill>
              <w14:schemeClr w14:val="tx1"/>
            </w14:solidFill>
          </w14:textFill>
        </w:rPr>
        <w:t>上述措施限制</w:t>
      </w: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w:t>
      </w:r>
    </w:p>
    <w:p>
      <w:pPr>
        <w:keepNext w:val="0"/>
        <w:keepLines w:val="0"/>
        <w:widowControl/>
        <w:numPr>
          <w:ilvl w:val="0"/>
          <w:numId w:val="0"/>
        </w:numPr>
        <w:suppressLineNumbers w:val="0"/>
        <w:spacing w:before="0" w:beforeAutospacing="0" w:after="0" w:afterAutospacing="0"/>
        <w:ind w:right="0" w:rightChars="0" w:firstLine="640" w:firstLineChars="200"/>
        <w:jc w:val="left"/>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八、对违反本通告规定的，由相关部门依法予以处理。</w:t>
      </w:r>
    </w:p>
    <w:p>
      <w:pPr>
        <w:keepNext w:val="0"/>
        <w:keepLines w:val="0"/>
        <w:widowControl/>
        <w:suppressLineNumbers w:val="0"/>
        <w:spacing w:before="0" w:beforeAutospacing="0" w:after="0" w:afterAutospacing="0"/>
        <w:ind w:left="0" w:right="0" w:firstLine="640" w:firstLineChars="200"/>
        <w:jc w:val="left"/>
        <w:rPr>
          <w:rFonts w:hint="default"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九、本通告自2023年9月28日起生效，有效期5年。</w:t>
      </w:r>
      <w:r>
        <w:rPr>
          <w:rFonts w:hint="eastAsia" w:ascii="仿宋_GB2312" w:eastAsia="仿宋_GB2312"/>
          <w:sz w:val="32"/>
          <w:szCs w:val="32"/>
        </w:rPr>
        <w:t>原深圳市人民政府201</w:t>
      </w:r>
      <w:r>
        <w:rPr>
          <w:rFonts w:hint="eastAsia" w:ascii="仿宋_GB2312" w:eastAsia="仿宋_GB2312"/>
          <w:sz w:val="32"/>
          <w:szCs w:val="32"/>
          <w:lang w:val="en-US" w:eastAsia="zh-CN"/>
        </w:rPr>
        <w:t>8</w:t>
      </w:r>
      <w:r>
        <w:rPr>
          <w:rFonts w:hint="eastAsia" w:ascii="仿宋_GB2312" w:eastAsia="仿宋_GB2312"/>
          <w:sz w:val="32"/>
          <w:szCs w:val="32"/>
        </w:rPr>
        <w:t>年发布的</w:t>
      </w:r>
      <w:r>
        <w:rPr>
          <w:rFonts w:hint="default" w:ascii="仿宋_GB2312" w:hAnsi="仿宋_GB2312" w:eastAsia="仿宋_GB2312" w:cs="仿宋_GB2312"/>
          <w:color w:val="000000" w:themeColor="text1"/>
          <w:sz w:val="32"/>
          <w:szCs w:val="40"/>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深圳市人民政府关于划定禁止使用高排放非道路移动机械区域的通告</w:t>
      </w:r>
      <w:r>
        <w:rPr>
          <w:rFonts w:hint="default" w:ascii="仿宋_GB2312" w:hAnsi="仿宋_GB2312" w:eastAsia="仿宋_GB2312" w:cs="仿宋_GB2312"/>
          <w:color w:val="000000" w:themeColor="text1"/>
          <w:sz w:val="32"/>
          <w:szCs w:val="40"/>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深府规〔2018〕18号</w:t>
      </w:r>
      <w:r>
        <w:rPr>
          <w:rFonts w:hint="default" w:ascii="仿宋_GB2312" w:hAnsi="仿宋_GB2312" w:eastAsia="仿宋_GB2312" w:cs="仿宋_GB2312"/>
          <w:color w:val="000000" w:themeColor="text1"/>
          <w:sz w:val="32"/>
          <w:szCs w:val="40"/>
          <w:highlight w:val="none"/>
          <w:lang w:val="en-US" w:eastAsia="zh-CN" w:bidi="ar-SA"/>
          <w14:textFill>
            <w14:solidFill>
              <w14:schemeClr w14:val="tx1"/>
            </w14:solidFill>
          </w14:textFill>
        </w:rPr>
        <w:t>)</w:t>
      </w:r>
      <w:r>
        <w:rPr>
          <w:rFonts w:hint="eastAsia" w:ascii="仿宋_GB2312" w:eastAsia="仿宋_GB2312"/>
          <w:sz w:val="32"/>
          <w:szCs w:val="32"/>
        </w:rPr>
        <w:t>同时废止。</w:t>
      </w:r>
    </w:p>
    <w:p>
      <w:pPr>
        <w:pStyle w:val="2"/>
        <w:rPr>
          <w:rFonts w:hint="default"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sz w:val="32"/>
          <w:szCs w:val="40"/>
          <w:highlight w:val="none"/>
          <w:lang w:val="en-US" w:eastAsia="zh-CN" w:bidi="ar-SA"/>
          <w14:textFill>
            <w14:solidFill>
              <w14:schemeClr w14:val="tx1"/>
            </w14:solidFill>
          </w14:textFill>
        </w:rPr>
        <w:t>特此通告。</w:t>
      </w:r>
    </w:p>
    <w:p>
      <w:pPr>
        <w:pStyle w:val="2"/>
        <w:rPr>
          <w:rFonts w:hint="default"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p>
    <w:p>
      <w:pPr>
        <w:pStyle w:val="2"/>
        <w:rPr>
          <w:rFonts w:hint="default"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 xml:space="preserve">                              </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23</w:t>
      </w:r>
      <w:r>
        <w:rPr>
          <w:rFonts w:hint="eastAsia" w:ascii="仿宋_GB2312" w:hAnsi="宋体" w:eastAsia="仿宋_GB2312" w:cs="宋体"/>
          <w:kern w:val="0"/>
          <w:sz w:val="32"/>
          <w:szCs w:val="32"/>
        </w:rPr>
        <w:t>年xx月xx日</w:t>
      </w:r>
    </w:p>
    <w:sectPr>
      <w:pgSz w:w="11906" w:h="17338"/>
      <w:pgMar w:top="2066" w:right="1432" w:bottom="1440" w:left="1748"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FangSong_GB2312">
    <w:altName w:val="方正仿宋_GBK"/>
    <w:panose1 w:val="00000000000000000000"/>
    <w:charset w:val="00"/>
    <w:family w:val="swiss"/>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7C1D92"/>
    <w:rsid w:val="0D481221"/>
    <w:rsid w:val="0EAE038D"/>
    <w:rsid w:val="10571C13"/>
    <w:rsid w:val="155573F2"/>
    <w:rsid w:val="1587314D"/>
    <w:rsid w:val="15DC27C2"/>
    <w:rsid w:val="187A3774"/>
    <w:rsid w:val="19CF432F"/>
    <w:rsid w:val="1A166B85"/>
    <w:rsid w:val="1FEA52A0"/>
    <w:rsid w:val="23214254"/>
    <w:rsid w:val="23477CCE"/>
    <w:rsid w:val="24BB7C95"/>
    <w:rsid w:val="26AF592A"/>
    <w:rsid w:val="28AE4B2A"/>
    <w:rsid w:val="2AB1421E"/>
    <w:rsid w:val="2DE46AB9"/>
    <w:rsid w:val="346B7D71"/>
    <w:rsid w:val="38A73CAA"/>
    <w:rsid w:val="38B900C3"/>
    <w:rsid w:val="3C3161F5"/>
    <w:rsid w:val="3F2A7309"/>
    <w:rsid w:val="3FCC53D2"/>
    <w:rsid w:val="44204F3B"/>
    <w:rsid w:val="454C59AC"/>
    <w:rsid w:val="4B9944F9"/>
    <w:rsid w:val="4CB22CF4"/>
    <w:rsid w:val="4D2E21D8"/>
    <w:rsid w:val="4FFC3884"/>
    <w:rsid w:val="50814C69"/>
    <w:rsid w:val="536425F3"/>
    <w:rsid w:val="55392BE4"/>
    <w:rsid w:val="5910053E"/>
    <w:rsid w:val="63CF7E08"/>
    <w:rsid w:val="65A76F2D"/>
    <w:rsid w:val="66D03182"/>
    <w:rsid w:val="68490839"/>
    <w:rsid w:val="69083163"/>
    <w:rsid w:val="6A5B4836"/>
    <w:rsid w:val="6C0B530C"/>
    <w:rsid w:val="6C1873D9"/>
    <w:rsid w:val="6DB63777"/>
    <w:rsid w:val="6EC47D1C"/>
    <w:rsid w:val="703F7A26"/>
    <w:rsid w:val="72847D6A"/>
    <w:rsid w:val="733B509A"/>
    <w:rsid w:val="735F4B5A"/>
    <w:rsid w:val="73C35416"/>
    <w:rsid w:val="74C413FD"/>
    <w:rsid w:val="758A2275"/>
    <w:rsid w:val="766621F6"/>
    <w:rsid w:val="7CE5752A"/>
    <w:rsid w:val="7D680897"/>
    <w:rsid w:val="7DDFF40C"/>
    <w:rsid w:val="7E82783B"/>
    <w:rsid w:val="EE534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PlainText"/>
    <w:basedOn w:val="1"/>
    <w:qFormat/>
    <w:uiPriority w:val="0"/>
    <w:pPr>
      <w:textAlignment w:val="baseline"/>
    </w:pPr>
    <w:rPr>
      <w:rFonts w:ascii="宋体" w:hAnsi="Courier New" w:eastAsia="宋体" w:cs="Times New Roman"/>
    </w:rPr>
  </w:style>
  <w:style w:type="paragraph" w:customStyle="1" w:styleId="7">
    <w:name w:val="Default"/>
    <w:unhideWhenUsed/>
    <w:qFormat/>
    <w:uiPriority w:val="99"/>
    <w:pPr>
      <w:widowControl w:val="0"/>
      <w:autoSpaceDE w:val="0"/>
      <w:autoSpaceDN w:val="0"/>
      <w:adjustRightInd w:val="0"/>
      <w:spacing w:beforeLines="0" w:afterLines="0"/>
    </w:pPr>
    <w:rPr>
      <w:rFonts w:hint="default" w:ascii="黑体" w:hAnsi="黑体" w:eastAsia="黑体" w:cstheme="minorBidi"/>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2021-04-13T01:22:00Z</dcterms:created>
  <dc:creator>Lenovo</dc:creator>
  <cp:lastModifiedBy>larry</cp:lastModifiedBy>
  <cp:lastPrinted>2022-10-18T02:48:00Z</cp:lastPrinted>
  <dcterms:modified xsi:type="dcterms:W3CDTF">2023-02-27T09:23:30Z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