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2月8日2时0分，我局执法人员在执法检查时，发现当你单位作为施工单位在深圳市南山区西丽街道朗山路与科苑北路交汇处的中国医学科学院阜外医院深圳医院（深圳市孙逸仙心血管医院）二期工程劳务分包工程工程施工中，存在夜间在城市建成区内进行产生环境</w:t>
      </w:r>
      <w:bookmarkStart w:id="0" w:name="_GoBack"/>
      <w:bookmarkEnd w:id="0"/>
      <w:r>
        <w:rPr>
          <w:rFonts w:hint="eastAsia" w:ascii="仿宋_GB2312" w:hAnsi="仿宋_GB2312" w:eastAsia="仿宋_GB2312" w:cs="仿宋_GB2312"/>
          <w:kern w:val="0"/>
          <w:sz w:val="28"/>
          <w:szCs w:val="28"/>
          <w:u w:val="none"/>
        </w:rPr>
        <w:t xml:space="preserve">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2B552F"/>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2023-03-16T07:40:15Z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