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2023年3月9日01时40分，我局执法人员在执法检查时，发现你单位作为施工单位在深圳市南山区西丽</w:t>
      </w:r>
      <w:bookmarkStart w:id="1" w:name="_GoBack"/>
      <w:bookmarkEnd w:id="1"/>
      <w:r>
        <w:rPr>
          <w:rFonts w:hint="eastAsia" w:ascii="仿宋_GB2312" w:hAnsi="仿宋_GB2312" w:eastAsia="仿宋_GB2312" w:cs="仿宋_GB2312"/>
          <w:kern w:val="0"/>
          <w:sz w:val="28"/>
          <w:szCs w:val="28"/>
          <w:u w:val="none"/>
        </w:rPr>
        <w:t xml:space="preserve">街道科苑北路的深圳市城市轨道交通13号线工程土建二工区项目经理部松坪站主体劳务分包工程施工中，存在未取得生态环境主管部门出具的夜间作业证明在夜间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D8B42E6"/>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1</TotalTime>
  <ScaleCrop>false</ScaleCrop>
  <LinksUpToDate>false</LinksUpToDate>
  <CharactersWithSpaces>1133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2023-04-27T03:45:33Z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